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E1B2BD" w14:textId="45C52070" w:rsidR="007A6F7E" w:rsidRPr="00F36169" w:rsidRDefault="007A6F7E">
      <w:pPr>
        <w:rPr>
          <w:rFonts w:ascii="Arial" w:hAnsi="Arial" w:cs="Arial"/>
        </w:rPr>
      </w:pPr>
    </w:p>
    <w:p w14:paraId="6692D1A0" w14:textId="77777777" w:rsidR="007A6F7E" w:rsidRPr="000C7CF6" w:rsidRDefault="00FA4BE9" w:rsidP="000C7CF6">
      <w:pPr>
        <w:pStyle w:val="Heading2"/>
        <w:rPr>
          <w:rFonts w:ascii="Arial" w:hAnsi="Arial" w:cs="Arial"/>
          <w:sz w:val="28"/>
          <w:szCs w:val="28"/>
        </w:rPr>
      </w:pPr>
      <w:r w:rsidRPr="00F36169">
        <w:rPr>
          <w:rFonts w:ascii="Arial" w:hAnsi="Arial" w:cs="Arial"/>
          <w:b w:val="0"/>
          <w:sz w:val="28"/>
          <w:szCs w:val="28"/>
        </w:rPr>
        <w:t>PRESS RELEASE - For Immediate Release</w:t>
      </w:r>
    </w:p>
    <w:p w14:paraId="2980E694" w14:textId="77777777" w:rsidR="007A6F7E" w:rsidRPr="00F36169" w:rsidRDefault="007A6F7E">
      <w:pPr>
        <w:rPr>
          <w:rFonts w:ascii="Arial" w:hAnsi="Arial" w:cs="Arial"/>
        </w:rPr>
      </w:pPr>
    </w:p>
    <w:p w14:paraId="00E898D9" w14:textId="468A4FCB" w:rsidR="00A87F3F" w:rsidRDefault="000C7CF6" w:rsidP="00A87F3F">
      <w:pPr>
        <w:rPr>
          <w:rFonts w:ascii="Arial" w:hAnsi="Arial" w:cs="Arial"/>
          <w:b/>
          <w:sz w:val="32"/>
          <w:szCs w:val="32"/>
        </w:rPr>
      </w:pPr>
      <w:r w:rsidRPr="005F14BE">
        <w:rPr>
          <w:rFonts w:ascii="Arial" w:hAnsi="Arial" w:cs="Arial"/>
          <w:b/>
          <w:sz w:val="32"/>
          <w:szCs w:val="32"/>
        </w:rPr>
        <w:t>COST OF LIVING INDEX</w:t>
      </w:r>
    </w:p>
    <w:p w14:paraId="21FC83F1" w14:textId="67674C57" w:rsidR="00A87F3F" w:rsidRPr="00A87F3F" w:rsidRDefault="00A87F3F" w:rsidP="00A87F3F">
      <w:pPr>
        <w:rPr>
          <w:rFonts w:ascii="Arial" w:hAnsi="Arial" w:cs="Arial"/>
          <w:b/>
          <w:sz w:val="32"/>
          <w:szCs w:val="32"/>
        </w:rPr>
      </w:pPr>
      <w:r w:rsidRPr="00A87F3F">
        <w:rPr>
          <w:rFonts w:ascii="Arial" w:hAnsi="Arial" w:cs="Arial"/>
          <w:spacing w:val="-6"/>
          <w:kern w:val="20"/>
          <w:sz w:val="21"/>
          <w:szCs w:val="21"/>
        </w:rPr>
        <w:tab/>
      </w:r>
      <w:r w:rsidRPr="00A87F3F">
        <w:rPr>
          <w:rFonts w:ascii="Arial" w:hAnsi="Arial" w:cs="Arial"/>
          <w:spacing w:val="-6"/>
          <w:kern w:val="20"/>
          <w:sz w:val="21"/>
          <w:szCs w:val="21"/>
        </w:rPr>
        <w:tab/>
        <w:t xml:space="preserve">           </w:t>
      </w:r>
    </w:p>
    <w:p w14:paraId="1E027B8D" w14:textId="1A08E5CD" w:rsidR="00AF377B" w:rsidRDefault="00AF377B" w:rsidP="46AD9A79">
      <w:pPr>
        <w:spacing w:before="240" w:after="180"/>
        <w:rPr>
          <w:rFonts w:ascii="Arial" w:hAnsi="Arial" w:cs="Arial"/>
          <w:spacing w:val="-6"/>
          <w:kern w:val="20"/>
          <w:sz w:val="21"/>
          <w:szCs w:val="21"/>
        </w:rPr>
      </w:pPr>
      <w:r w:rsidRPr="00A87F3F">
        <w:rPr>
          <w:rFonts w:ascii="Arial" w:hAnsi="Arial" w:cs="Arial"/>
          <w:spacing w:val="-6"/>
          <w:kern w:val="20"/>
          <w:sz w:val="21"/>
          <w:szCs w:val="21"/>
        </w:rPr>
        <w:t>Beginning with quarter four of 2007, C2ER has annually published an unweighted average of prices accumulated from the previous three quarters. This analysis uses average prices submitted for the first three quarters of 202</w:t>
      </w:r>
      <w:r>
        <w:rPr>
          <w:rFonts w:ascii="Arial" w:hAnsi="Arial" w:cs="Arial"/>
          <w:spacing w:val="-6"/>
          <w:kern w:val="20"/>
          <w:sz w:val="21"/>
          <w:szCs w:val="21"/>
        </w:rPr>
        <w:t>3</w:t>
      </w:r>
      <w:r w:rsidRPr="00A87F3F">
        <w:rPr>
          <w:rFonts w:ascii="Arial" w:hAnsi="Arial" w:cs="Arial"/>
          <w:spacing w:val="-6"/>
          <w:kern w:val="20"/>
          <w:sz w:val="21"/>
          <w:szCs w:val="21"/>
        </w:rPr>
        <w:t>.  For further details on the annual average methodology, please visit our website at coli.org</w:t>
      </w:r>
      <w:r>
        <w:rPr>
          <w:rFonts w:ascii="Arial" w:hAnsi="Arial" w:cs="Arial"/>
          <w:spacing w:val="-6"/>
          <w:kern w:val="20"/>
          <w:sz w:val="21"/>
          <w:szCs w:val="21"/>
        </w:rPr>
        <w:t>.</w:t>
      </w:r>
    </w:p>
    <w:p w14:paraId="18A25354" w14:textId="7E2249C0" w:rsidR="00840016" w:rsidRPr="005F14BE" w:rsidRDefault="000C7CF6" w:rsidP="46AD9A79">
      <w:pPr>
        <w:spacing w:before="240" w:after="180"/>
        <w:rPr>
          <w:rFonts w:ascii="Arial" w:hAnsi="Arial" w:cs="Arial"/>
          <w:spacing w:val="-6"/>
          <w:kern w:val="20"/>
          <w:sz w:val="21"/>
          <w:szCs w:val="21"/>
        </w:rPr>
      </w:pPr>
      <w:r w:rsidRPr="005F14BE">
        <w:rPr>
          <w:rFonts w:ascii="Arial" w:hAnsi="Arial" w:cs="Arial"/>
          <w:spacing w:val="-6"/>
          <w:kern w:val="20"/>
          <w:sz w:val="21"/>
          <w:szCs w:val="21"/>
        </w:rPr>
        <w:t xml:space="preserve">Among the </w:t>
      </w:r>
      <w:r w:rsidR="00DD66C3" w:rsidRPr="005F14BE">
        <w:rPr>
          <w:rFonts w:ascii="Arial" w:hAnsi="Arial" w:cs="Arial"/>
          <w:spacing w:val="-6"/>
          <w:kern w:val="20"/>
          <w:sz w:val="21"/>
          <w:szCs w:val="21"/>
        </w:rPr>
        <w:t>2</w:t>
      </w:r>
      <w:r w:rsidR="00056D88">
        <w:rPr>
          <w:rFonts w:ascii="Arial" w:hAnsi="Arial" w:cs="Arial"/>
          <w:spacing w:val="-6"/>
          <w:kern w:val="20"/>
          <w:sz w:val="21"/>
          <w:szCs w:val="21"/>
        </w:rPr>
        <w:t>76</w:t>
      </w:r>
      <w:r w:rsidR="007F4ADE">
        <w:rPr>
          <w:rFonts w:ascii="Arial" w:hAnsi="Arial" w:cs="Arial"/>
          <w:spacing w:val="-6"/>
          <w:kern w:val="20"/>
          <w:sz w:val="21"/>
          <w:szCs w:val="21"/>
        </w:rPr>
        <w:t xml:space="preserve"> </w:t>
      </w:r>
      <w:r w:rsidRPr="005F14BE">
        <w:rPr>
          <w:rFonts w:ascii="Arial" w:hAnsi="Arial" w:cs="Arial"/>
          <w:spacing w:val="-6"/>
          <w:kern w:val="20"/>
          <w:sz w:val="21"/>
          <w:szCs w:val="21"/>
        </w:rPr>
        <w:t xml:space="preserve">urban areas that participated in </w:t>
      </w:r>
      <w:r w:rsidR="00C60289">
        <w:rPr>
          <w:rFonts w:ascii="Arial" w:hAnsi="Arial" w:cs="Arial"/>
          <w:spacing w:val="-6"/>
          <w:kern w:val="20"/>
          <w:sz w:val="21"/>
          <w:szCs w:val="21"/>
        </w:rPr>
        <w:t>the</w:t>
      </w:r>
      <w:r w:rsidR="00863BEC">
        <w:rPr>
          <w:rFonts w:ascii="Arial" w:hAnsi="Arial" w:cs="Arial"/>
          <w:spacing w:val="-6"/>
          <w:kern w:val="20"/>
          <w:sz w:val="21"/>
          <w:szCs w:val="21"/>
        </w:rPr>
        <w:t xml:space="preserve"> </w:t>
      </w:r>
      <w:r w:rsidRPr="005F14BE">
        <w:rPr>
          <w:rFonts w:ascii="Arial" w:hAnsi="Arial" w:cs="Arial"/>
          <w:spacing w:val="-6"/>
          <w:kern w:val="20"/>
          <w:sz w:val="21"/>
          <w:szCs w:val="21"/>
        </w:rPr>
        <w:t>20</w:t>
      </w:r>
      <w:r w:rsidR="00D71C60" w:rsidRPr="005F14BE">
        <w:rPr>
          <w:rFonts w:ascii="Arial" w:hAnsi="Arial" w:cs="Arial"/>
          <w:spacing w:val="-6"/>
          <w:kern w:val="20"/>
          <w:sz w:val="21"/>
          <w:szCs w:val="21"/>
        </w:rPr>
        <w:t>2</w:t>
      </w:r>
      <w:r w:rsidR="00443428">
        <w:rPr>
          <w:rFonts w:ascii="Arial" w:hAnsi="Arial" w:cs="Arial"/>
          <w:spacing w:val="-6"/>
          <w:kern w:val="20"/>
          <w:sz w:val="21"/>
          <w:szCs w:val="21"/>
        </w:rPr>
        <w:t>3</w:t>
      </w:r>
      <w:r w:rsidRPr="005F14BE">
        <w:rPr>
          <w:rFonts w:ascii="Arial" w:hAnsi="Arial" w:cs="Arial"/>
          <w:spacing w:val="-6"/>
          <w:kern w:val="20"/>
          <w:sz w:val="21"/>
          <w:szCs w:val="21"/>
        </w:rPr>
        <w:t xml:space="preserv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the after-tax cost for a professional/managerial </w:t>
      </w:r>
      <w:r w:rsidRPr="005F14BE">
        <w:rPr>
          <w:rFonts w:ascii="Arial" w:hAnsi="Arial" w:cs="Arial"/>
          <w:b/>
          <w:bCs/>
          <w:spacing w:val="-6"/>
          <w:kern w:val="20"/>
          <w:sz w:val="21"/>
          <w:szCs w:val="21"/>
        </w:rPr>
        <w:t>standard of living ranged from</w:t>
      </w:r>
      <w:r w:rsidRPr="005F14BE">
        <w:rPr>
          <w:rFonts w:ascii="Arial" w:hAnsi="Arial" w:cs="Arial"/>
          <w:spacing w:val="-6"/>
          <w:kern w:val="20"/>
          <w:sz w:val="21"/>
          <w:szCs w:val="21"/>
        </w:rPr>
        <w:t xml:space="preserve"> </w:t>
      </w:r>
      <w:r w:rsidRPr="005F14BE">
        <w:rPr>
          <w:rFonts w:ascii="Arial" w:hAnsi="Arial" w:cs="Arial"/>
          <w:b/>
          <w:bCs/>
          <w:spacing w:val="-6"/>
          <w:kern w:val="20"/>
          <w:sz w:val="21"/>
          <w:szCs w:val="21"/>
        </w:rPr>
        <w:t xml:space="preserve">more than twice the national average in New York (Manhattan) NY to more than 20 percent below the national average in </w:t>
      </w:r>
      <w:r w:rsidR="0013348A">
        <w:rPr>
          <w:rFonts w:ascii="Arial" w:hAnsi="Arial" w:cs="Arial"/>
          <w:b/>
          <w:bCs/>
          <w:spacing w:val="-6"/>
          <w:kern w:val="20"/>
          <w:sz w:val="21"/>
          <w:szCs w:val="21"/>
        </w:rPr>
        <w:t>Decatur</w:t>
      </w:r>
      <w:r w:rsidR="00C56D07" w:rsidRPr="005F14BE">
        <w:rPr>
          <w:rFonts w:ascii="Arial" w:hAnsi="Arial" w:cs="Arial"/>
          <w:b/>
          <w:bCs/>
          <w:spacing w:val="-6"/>
          <w:kern w:val="20"/>
          <w:sz w:val="21"/>
          <w:szCs w:val="21"/>
        </w:rPr>
        <w:t xml:space="preserve">, </w:t>
      </w:r>
      <w:r w:rsidR="0013348A">
        <w:rPr>
          <w:rFonts w:ascii="Arial" w:hAnsi="Arial" w:cs="Arial"/>
          <w:b/>
          <w:bCs/>
          <w:spacing w:val="-6"/>
          <w:kern w:val="20"/>
          <w:sz w:val="21"/>
          <w:szCs w:val="21"/>
        </w:rPr>
        <w:t>IL</w:t>
      </w:r>
      <w:r w:rsidRPr="005F14BE">
        <w:rPr>
          <w:rFonts w:ascii="Arial" w:hAnsi="Arial" w:cs="Arial"/>
          <w:b/>
          <w:bCs/>
          <w:spacing w:val="-6"/>
          <w:kern w:val="20"/>
          <w:sz w:val="21"/>
          <w:szCs w:val="21"/>
        </w:rPr>
        <w:t>.</w:t>
      </w:r>
      <w:r w:rsidRPr="005F14BE">
        <w:rPr>
          <w:rFonts w:ascii="Arial" w:hAnsi="Arial" w:cs="Arial"/>
          <w:spacing w:val="-6"/>
          <w:kern w:val="20"/>
          <w:sz w:val="21"/>
          <w:szCs w:val="21"/>
        </w:rPr>
        <w:t xml:space="preserve">   The </w:t>
      </w:r>
      <w:r w:rsidRPr="005F14BE">
        <w:rPr>
          <w:rFonts w:ascii="Arial" w:hAnsi="Arial" w:cs="Arial"/>
          <w:i/>
          <w:iCs/>
          <w:spacing w:val="-6"/>
          <w:kern w:val="20"/>
          <w:sz w:val="21"/>
          <w:szCs w:val="21"/>
        </w:rPr>
        <w:t>Cost of Living Index</w:t>
      </w:r>
      <w:r w:rsidRPr="005F14BE">
        <w:rPr>
          <w:rFonts w:ascii="Arial" w:hAnsi="Arial" w:cs="Arial"/>
          <w:spacing w:val="-6"/>
          <w:kern w:val="20"/>
          <w:sz w:val="21"/>
          <w:szCs w:val="21"/>
        </w:rPr>
        <w:t xml:space="preserve"> is published quarterly by C2ER – The Council for Community and Economic Research.</w:t>
      </w:r>
      <w:r w:rsidR="00A5050F" w:rsidRPr="005F14BE">
        <w:rPr>
          <w:rFonts w:ascii="Arial" w:hAnsi="Arial" w:cs="Arial"/>
          <w:spacing w:val="-6"/>
          <w:kern w:val="20"/>
          <w:sz w:val="21"/>
          <w:szCs w:val="21"/>
        </w:rPr>
        <w:t xml:space="preserve"> </w:t>
      </w:r>
    </w:p>
    <w:tbl>
      <w:tblPr>
        <w:tblpPr w:leftFromText="180" w:rightFromText="180" w:vertAnchor="text" w:horzAnchor="margin" w:tblpXSpec="center" w:tblpY="68"/>
        <w:tblW w:w="9918" w:type="dxa"/>
        <w:tblLayout w:type="fixed"/>
        <w:tblLook w:val="0000" w:firstRow="0" w:lastRow="0" w:firstColumn="0" w:lastColumn="0" w:noHBand="0" w:noVBand="0"/>
      </w:tblPr>
      <w:tblGrid>
        <w:gridCol w:w="1080"/>
        <w:gridCol w:w="2808"/>
        <w:gridCol w:w="72"/>
        <w:gridCol w:w="828"/>
        <w:gridCol w:w="1080"/>
        <w:gridCol w:w="2970"/>
        <w:gridCol w:w="270"/>
        <w:gridCol w:w="810"/>
      </w:tblGrid>
      <w:tr w:rsidR="005F14BE" w:rsidRPr="005F14BE" w14:paraId="386F2BF0" w14:textId="77777777" w:rsidTr="00F31ACB">
        <w:trPr>
          <w:trHeight w:val="290"/>
        </w:trPr>
        <w:tc>
          <w:tcPr>
            <w:tcW w:w="9918" w:type="dxa"/>
            <w:gridSpan w:val="8"/>
            <w:tcBorders>
              <w:bottom w:val="single" w:sz="4" w:space="0" w:color="auto"/>
            </w:tcBorders>
          </w:tcPr>
          <w:p w14:paraId="11DB8C97"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The Ten Most and Least Expensive Urban Areas</w:t>
            </w:r>
          </w:p>
          <w:p w14:paraId="2EAD30B5" w14:textId="77777777" w:rsidR="000C7CF6" w:rsidRPr="005F14BE" w:rsidRDefault="000C7CF6" w:rsidP="000C7CF6">
            <w:pPr>
              <w:autoSpaceDE w:val="0"/>
              <w:autoSpaceDN w:val="0"/>
              <w:adjustRightInd w:val="0"/>
              <w:jc w:val="center"/>
              <w:rPr>
                <w:rFonts w:ascii="Arial" w:hAnsi="Arial" w:cs="Arial"/>
                <w:b/>
                <w:bCs/>
                <w:sz w:val="28"/>
                <w:szCs w:val="28"/>
              </w:rPr>
            </w:pPr>
            <w:r w:rsidRPr="005F14BE">
              <w:rPr>
                <w:rFonts w:ascii="Arial" w:hAnsi="Arial" w:cs="Arial"/>
                <w:b/>
                <w:bCs/>
                <w:sz w:val="28"/>
                <w:szCs w:val="28"/>
              </w:rPr>
              <w:t>in the Cost of Living Index (COLI)</w:t>
            </w:r>
          </w:p>
          <w:p w14:paraId="3E6505A6" w14:textId="5DD8B735" w:rsidR="00404CF5" w:rsidRPr="00DF4CDE" w:rsidRDefault="00445F08" w:rsidP="00DF4CDE">
            <w:pPr>
              <w:jc w:val="center"/>
              <w:rPr>
                <w:rFonts w:ascii="Arial" w:hAnsi="Arial" w:cs="Arial"/>
                <w:b/>
                <w:bCs/>
                <w:sz w:val="21"/>
                <w:szCs w:val="21"/>
              </w:rPr>
            </w:pPr>
            <w:r>
              <w:rPr>
                <w:rFonts w:ascii="Arial" w:hAnsi="Arial" w:cs="Arial"/>
                <w:b/>
                <w:bCs/>
                <w:sz w:val="21"/>
                <w:szCs w:val="21"/>
              </w:rPr>
              <w:t>Year-End Review of Three Quarters</w:t>
            </w:r>
            <w:r w:rsidR="002E5C75">
              <w:rPr>
                <w:rFonts w:ascii="Arial" w:hAnsi="Arial" w:cs="Arial"/>
                <w:b/>
                <w:bCs/>
                <w:sz w:val="21"/>
                <w:szCs w:val="21"/>
              </w:rPr>
              <w:t xml:space="preserve"> in 2023</w:t>
            </w:r>
          </w:p>
          <w:p w14:paraId="6FDE2646" w14:textId="48B6A5CF" w:rsidR="000C7CF6" w:rsidRPr="00B5554B" w:rsidRDefault="000C7CF6" w:rsidP="00B5554B">
            <w:pPr>
              <w:jc w:val="center"/>
              <w:rPr>
                <w:rFonts w:ascii="Arial" w:hAnsi="Arial" w:cs="Arial"/>
                <w:b/>
                <w:bCs/>
                <w:sz w:val="20"/>
                <w:szCs w:val="20"/>
              </w:rPr>
            </w:pPr>
            <w:r w:rsidRPr="00DF4CDE">
              <w:rPr>
                <w:rFonts w:ascii="Arial" w:hAnsi="Arial" w:cs="Arial"/>
                <w:b/>
                <w:bCs/>
                <w:sz w:val="21"/>
                <w:szCs w:val="21"/>
              </w:rPr>
              <w:t xml:space="preserve">National Average for </w:t>
            </w:r>
            <w:r w:rsidR="00DF6325" w:rsidRPr="00DF4CDE">
              <w:rPr>
                <w:rFonts w:ascii="Arial" w:hAnsi="Arial" w:cs="Arial"/>
                <w:b/>
                <w:bCs/>
                <w:sz w:val="21"/>
                <w:szCs w:val="21"/>
              </w:rPr>
              <w:t>2</w:t>
            </w:r>
            <w:r w:rsidR="00860A90">
              <w:rPr>
                <w:rFonts w:ascii="Arial" w:hAnsi="Arial" w:cs="Arial"/>
                <w:b/>
                <w:bCs/>
                <w:sz w:val="21"/>
                <w:szCs w:val="21"/>
              </w:rPr>
              <w:t>76</w:t>
            </w:r>
            <w:r w:rsidR="007C1168" w:rsidRPr="00DF4CDE">
              <w:rPr>
                <w:rFonts w:ascii="Arial" w:hAnsi="Arial" w:cs="Arial"/>
                <w:b/>
                <w:bCs/>
                <w:sz w:val="21"/>
                <w:szCs w:val="21"/>
              </w:rPr>
              <w:t xml:space="preserve"> </w:t>
            </w:r>
            <w:r w:rsidRPr="00DF4CDE">
              <w:rPr>
                <w:rFonts w:ascii="Arial" w:hAnsi="Arial" w:cs="Arial"/>
                <w:b/>
                <w:bCs/>
                <w:sz w:val="21"/>
                <w:szCs w:val="21"/>
              </w:rPr>
              <w:t>Urban Areas = 100</w:t>
            </w:r>
          </w:p>
        </w:tc>
      </w:tr>
      <w:tr w:rsidR="005F14BE" w:rsidRPr="005F14BE" w14:paraId="4113648F" w14:textId="77777777" w:rsidTr="00F31ACB">
        <w:trPr>
          <w:trHeight w:val="290"/>
        </w:trPr>
        <w:tc>
          <w:tcPr>
            <w:tcW w:w="3888" w:type="dxa"/>
            <w:gridSpan w:val="2"/>
            <w:tcBorders>
              <w:top w:val="single" w:sz="4" w:space="0" w:color="auto"/>
            </w:tcBorders>
            <w:vAlign w:val="center"/>
          </w:tcPr>
          <w:p w14:paraId="1BF56E3B"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900" w:type="dxa"/>
            <w:gridSpan w:val="2"/>
            <w:tcBorders>
              <w:top w:val="single" w:sz="4" w:space="0" w:color="auto"/>
              <w:right w:val="single" w:sz="4" w:space="0" w:color="auto"/>
            </w:tcBorders>
            <w:vAlign w:val="center"/>
          </w:tcPr>
          <w:p w14:paraId="31929152" w14:textId="77777777" w:rsidR="000C7CF6" w:rsidRPr="005F14BE" w:rsidRDefault="000C7CF6" w:rsidP="000C7CF6">
            <w:pPr>
              <w:autoSpaceDE w:val="0"/>
              <w:autoSpaceDN w:val="0"/>
              <w:adjustRightInd w:val="0"/>
              <w:jc w:val="right"/>
              <w:rPr>
                <w:rFonts w:ascii="Arial" w:hAnsi="Arial" w:cs="Arial"/>
                <w:sz w:val="20"/>
                <w:szCs w:val="20"/>
              </w:rPr>
            </w:pPr>
          </w:p>
        </w:tc>
        <w:tc>
          <w:tcPr>
            <w:tcW w:w="4050" w:type="dxa"/>
            <w:gridSpan w:val="2"/>
            <w:tcBorders>
              <w:top w:val="single" w:sz="4" w:space="0" w:color="auto"/>
              <w:left w:val="single" w:sz="4" w:space="0" w:color="auto"/>
            </w:tcBorders>
            <w:vAlign w:val="center"/>
          </w:tcPr>
          <w:p w14:paraId="5EDDBFFE" w14:textId="77777777" w:rsidR="000C7CF6" w:rsidRPr="005F14BE" w:rsidRDefault="000C7CF6" w:rsidP="000C7CF6">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080" w:type="dxa"/>
            <w:gridSpan w:val="2"/>
            <w:tcBorders>
              <w:top w:val="single" w:sz="4" w:space="0" w:color="auto"/>
            </w:tcBorders>
            <w:vAlign w:val="center"/>
          </w:tcPr>
          <w:p w14:paraId="7C1B5EDE" w14:textId="77777777" w:rsidR="000C7CF6" w:rsidRPr="005F14BE" w:rsidRDefault="000C7CF6" w:rsidP="000C7CF6">
            <w:pPr>
              <w:autoSpaceDE w:val="0"/>
              <w:autoSpaceDN w:val="0"/>
              <w:adjustRightInd w:val="0"/>
              <w:jc w:val="right"/>
              <w:rPr>
                <w:rFonts w:ascii="Arial" w:hAnsi="Arial" w:cs="Arial"/>
                <w:sz w:val="20"/>
                <w:szCs w:val="20"/>
              </w:rPr>
            </w:pPr>
          </w:p>
        </w:tc>
      </w:tr>
      <w:tr w:rsidR="005F14BE" w:rsidRPr="005F14BE" w14:paraId="5F7139E7" w14:textId="77777777" w:rsidTr="00743AA4">
        <w:trPr>
          <w:trHeight w:val="290"/>
        </w:trPr>
        <w:tc>
          <w:tcPr>
            <w:tcW w:w="1080" w:type="dxa"/>
            <w:vAlign w:val="center"/>
          </w:tcPr>
          <w:p w14:paraId="200589CF" w14:textId="77777777" w:rsidR="000C7CF6" w:rsidRPr="005F14BE" w:rsidRDefault="000C7CF6" w:rsidP="000C7CF6">
            <w:pPr>
              <w:autoSpaceDE w:val="0"/>
              <w:autoSpaceDN w:val="0"/>
              <w:adjustRightInd w:val="0"/>
              <w:rPr>
                <w:rFonts w:ascii="Arial" w:hAnsi="Arial" w:cs="Arial"/>
                <w:sz w:val="20"/>
                <w:szCs w:val="20"/>
              </w:rPr>
            </w:pPr>
          </w:p>
        </w:tc>
        <w:tc>
          <w:tcPr>
            <w:tcW w:w="2808" w:type="dxa"/>
            <w:vAlign w:val="center"/>
          </w:tcPr>
          <w:p w14:paraId="0F848519" w14:textId="77777777" w:rsidR="000C7CF6" w:rsidRPr="005F14BE" w:rsidRDefault="000C7CF6" w:rsidP="000C7CF6">
            <w:pPr>
              <w:autoSpaceDE w:val="0"/>
              <w:autoSpaceDN w:val="0"/>
              <w:adjustRightInd w:val="0"/>
              <w:ind w:left="-200"/>
              <w:rPr>
                <w:rFonts w:ascii="Arial" w:hAnsi="Arial" w:cs="Arial"/>
                <w:sz w:val="20"/>
                <w:szCs w:val="20"/>
              </w:rPr>
            </w:pPr>
          </w:p>
        </w:tc>
        <w:tc>
          <w:tcPr>
            <w:tcW w:w="900" w:type="dxa"/>
            <w:gridSpan w:val="2"/>
            <w:tcBorders>
              <w:right w:val="single" w:sz="4" w:space="0" w:color="auto"/>
            </w:tcBorders>
            <w:vAlign w:val="center"/>
          </w:tcPr>
          <w:p w14:paraId="69F2BAB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COL</w:t>
            </w:r>
          </w:p>
        </w:tc>
        <w:tc>
          <w:tcPr>
            <w:tcW w:w="1080" w:type="dxa"/>
            <w:tcBorders>
              <w:left w:val="single" w:sz="4" w:space="0" w:color="auto"/>
            </w:tcBorders>
            <w:vAlign w:val="center"/>
          </w:tcPr>
          <w:p w14:paraId="1FF1E5E2" w14:textId="77777777" w:rsidR="000C7CF6" w:rsidRPr="005F14BE" w:rsidRDefault="000C7CF6" w:rsidP="000C7CF6">
            <w:pPr>
              <w:autoSpaceDE w:val="0"/>
              <w:autoSpaceDN w:val="0"/>
              <w:adjustRightInd w:val="0"/>
              <w:rPr>
                <w:rFonts w:ascii="Arial" w:hAnsi="Arial" w:cs="Arial"/>
                <w:sz w:val="20"/>
                <w:szCs w:val="20"/>
              </w:rPr>
            </w:pPr>
          </w:p>
        </w:tc>
        <w:tc>
          <w:tcPr>
            <w:tcW w:w="2970" w:type="dxa"/>
            <w:vAlign w:val="center"/>
          </w:tcPr>
          <w:p w14:paraId="1E0CDC0E" w14:textId="77777777" w:rsidR="000C7CF6" w:rsidRPr="005F14BE" w:rsidRDefault="000C7CF6" w:rsidP="000C7CF6">
            <w:pPr>
              <w:autoSpaceDE w:val="0"/>
              <w:autoSpaceDN w:val="0"/>
              <w:adjustRightInd w:val="0"/>
              <w:ind w:left="-288"/>
              <w:rPr>
                <w:rFonts w:ascii="Arial" w:hAnsi="Arial" w:cs="Arial"/>
                <w:sz w:val="20"/>
                <w:szCs w:val="20"/>
              </w:rPr>
            </w:pPr>
          </w:p>
        </w:tc>
        <w:tc>
          <w:tcPr>
            <w:tcW w:w="1080" w:type="dxa"/>
            <w:gridSpan w:val="2"/>
            <w:vAlign w:val="center"/>
          </w:tcPr>
          <w:p w14:paraId="6E62CD77"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   COL</w:t>
            </w:r>
          </w:p>
        </w:tc>
      </w:tr>
      <w:tr w:rsidR="005F14BE" w:rsidRPr="005F14BE" w14:paraId="24CD3C77" w14:textId="77777777" w:rsidTr="00743AA4">
        <w:trPr>
          <w:trHeight w:val="290"/>
        </w:trPr>
        <w:tc>
          <w:tcPr>
            <w:tcW w:w="1080" w:type="dxa"/>
            <w:vAlign w:val="center"/>
          </w:tcPr>
          <w:p w14:paraId="15C72D82"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2808" w:type="dxa"/>
            <w:vAlign w:val="center"/>
          </w:tcPr>
          <w:p w14:paraId="15299EDC" w14:textId="77777777" w:rsidR="000C7CF6" w:rsidRPr="005F14BE" w:rsidRDefault="000C7CF6" w:rsidP="000C7CF6">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900" w:type="dxa"/>
            <w:gridSpan w:val="2"/>
            <w:tcBorders>
              <w:right w:val="single" w:sz="4" w:space="0" w:color="auto"/>
            </w:tcBorders>
            <w:vAlign w:val="center"/>
          </w:tcPr>
          <w:p w14:paraId="78C00E19"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Index</w:t>
            </w:r>
          </w:p>
        </w:tc>
        <w:tc>
          <w:tcPr>
            <w:tcW w:w="1080" w:type="dxa"/>
            <w:tcBorders>
              <w:left w:val="single" w:sz="4" w:space="0" w:color="auto"/>
            </w:tcBorders>
            <w:vAlign w:val="center"/>
          </w:tcPr>
          <w:p w14:paraId="7AE9CD6A" w14:textId="77777777" w:rsidR="000C7CF6" w:rsidRPr="005F14BE" w:rsidRDefault="000C7CF6" w:rsidP="000C7CF6">
            <w:pPr>
              <w:autoSpaceDE w:val="0"/>
              <w:autoSpaceDN w:val="0"/>
              <w:adjustRightInd w:val="0"/>
              <w:jc w:val="center"/>
              <w:rPr>
                <w:rFonts w:ascii="Arial" w:hAnsi="Arial" w:cs="Arial"/>
                <w:b/>
                <w:sz w:val="20"/>
                <w:szCs w:val="20"/>
              </w:rPr>
            </w:pPr>
            <w:r w:rsidRPr="005F14BE">
              <w:rPr>
                <w:rFonts w:ascii="Arial" w:hAnsi="Arial" w:cs="Arial"/>
                <w:b/>
                <w:sz w:val="20"/>
                <w:szCs w:val="20"/>
              </w:rPr>
              <w:t>Ranking</w:t>
            </w:r>
          </w:p>
        </w:tc>
        <w:tc>
          <w:tcPr>
            <w:tcW w:w="3240" w:type="dxa"/>
            <w:gridSpan w:val="2"/>
            <w:vAlign w:val="center"/>
          </w:tcPr>
          <w:p w14:paraId="767A50EB" w14:textId="77777777" w:rsidR="000C7CF6" w:rsidRPr="006E189E" w:rsidRDefault="000C7CF6" w:rsidP="000C7CF6">
            <w:pPr>
              <w:autoSpaceDE w:val="0"/>
              <w:autoSpaceDN w:val="0"/>
              <w:adjustRightInd w:val="0"/>
              <w:rPr>
                <w:rFonts w:ascii="Arial" w:hAnsi="Arial" w:cs="Arial"/>
                <w:b/>
                <w:sz w:val="20"/>
                <w:szCs w:val="20"/>
              </w:rPr>
            </w:pPr>
            <w:r w:rsidRPr="006E189E">
              <w:rPr>
                <w:rFonts w:ascii="Arial" w:hAnsi="Arial" w:cs="Arial"/>
                <w:b/>
                <w:sz w:val="20"/>
                <w:szCs w:val="20"/>
              </w:rPr>
              <w:t>Urban Areas</w:t>
            </w:r>
          </w:p>
        </w:tc>
        <w:tc>
          <w:tcPr>
            <w:tcW w:w="810" w:type="dxa"/>
            <w:vAlign w:val="center"/>
          </w:tcPr>
          <w:p w14:paraId="4D7F397D" w14:textId="77777777" w:rsidR="000C7CF6" w:rsidRPr="006E189E" w:rsidRDefault="000C7CF6" w:rsidP="006E189E">
            <w:pPr>
              <w:autoSpaceDE w:val="0"/>
              <w:autoSpaceDN w:val="0"/>
              <w:adjustRightInd w:val="0"/>
              <w:jc w:val="center"/>
              <w:rPr>
                <w:rFonts w:ascii="Arial" w:hAnsi="Arial" w:cs="Arial"/>
                <w:b/>
                <w:sz w:val="20"/>
                <w:szCs w:val="20"/>
              </w:rPr>
            </w:pPr>
            <w:r w:rsidRPr="006E189E">
              <w:rPr>
                <w:rFonts w:ascii="Arial" w:hAnsi="Arial" w:cs="Arial"/>
                <w:b/>
                <w:sz w:val="20"/>
                <w:szCs w:val="20"/>
              </w:rPr>
              <w:t>Index</w:t>
            </w:r>
          </w:p>
        </w:tc>
      </w:tr>
      <w:tr w:rsidR="0064097E" w:rsidRPr="009300F7" w14:paraId="2C0D922D" w14:textId="77777777">
        <w:trPr>
          <w:trHeight w:val="290"/>
        </w:trPr>
        <w:tc>
          <w:tcPr>
            <w:tcW w:w="1080" w:type="dxa"/>
            <w:vAlign w:val="center"/>
          </w:tcPr>
          <w:p w14:paraId="709562B7"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2880" w:type="dxa"/>
            <w:gridSpan w:val="2"/>
            <w:tcBorders>
              <w:top w:val="nil"/>
              <w:left w:val="nil"/>
              <w:bottom w:val="nil"/>
              <w:right w:val="nil"/>
            </w:tcBorders>
            <w:shd w:val="clear" w:color="auto" w:fill="auto"/>
          </w:tcPr>
          <w:p w14:paraId="2DF8FD3E" w14:textId="04D8B2C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New York (Manhattan) NY</w:t>
            </w:r>
          </w:p>
        </w:tc>
        <w:tc>
          <w:tcPr>
            <w:tcW w:w="828" w:type="dxa"/>
            <w:tcBorders>
              <w:top w:val="nil"/>
              <w:left w:val="nil"/>
              <w:bottom w:val="nil"/>
              <w:right w:val="nil"/>
            </w:tcBorders>
            <w:shd w:val="clear" w:color="auto" w:fill="auto"/>
          </w:tcPr>
          <w:p w14:paraId="4418099E" w14:textId="2BB540EC" w:rsidR="0064097E" w:rsidRPr="0064097E" w:rsidRDefault="0064097E" w:rsidP="0064097E">
            <w:pPr>
              <w:rPr>
                <w:rFonts w:ascii="Arial" w:hAnsi="Arial" w:cs="Arial"/>
                <w:color w:val="000000"/>
                <w:sz w:val="22"/>
                <w:szCs w:val="22"/>
              </w:rPr>
            </w:pPr>
            <w:r w:rsidRPr="0064097E">
              <w:rPr>
                <w:rFonts w:ascii="Arial" w:hAnsi="Arial" w:cs="Arial"/>
                <w:sz w:val="22"/>
                <w:szCs w:val="22"/>
              </w:rPr>
              <w:t>225.2</w:t>
            </w:r>
          </w:p>
        </w:tc>
        <w:tc>
          <w:tcPr>
            <w:tcW w:w="1080" w:type="dxa"/>
            <w:tcBorders>
              <w:left w:val="single" w:sz="4" w:space="0" w:color="auto"/>
            </w:tcBorders>
            <w:vAlign w:val="center"/>
          </w:tcPr>
          <w:p w14:paraId="6935C0EC"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w:t>
            </w:r>
          </w:p>
        </w:tc>
        <w:tc>
          <w:tcPr>
            <w:tcW w:w="3240" w:type="dxa"/>
            <w:gridSpan w:val="2"/>
            <w:tcBorders>
              <w:top w:val="nil"/>
              <w:left w:val="nil"/>
              <w:bottom w:val="nil"/>
              <w:right w:val="nil"/>
            </w:tcBorders>
            <w:shd w:val="clear" w:color="auto" w:fill="auto"/>
          </w:tcPr>
          <w:p w14:paraId="4E37055C" w14:textId="53822889"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Decatur IL</w:t>
            </w:r>
          </w:p>
        </w:tc>
        <w:tc>
          <w:tcPr>
            <w:tcW w:w="810" w:type="dxa"/>
            <w:tcBorders>
              <w:top w:val="nil"/>
              <w:left w:val="nil"/>
              <w:bottom w:val="nil"/>
              <w:right w:val="nil"/>
            </w:tcBorders>
            <w:shd w:val="clear" w:color="auto" w:fill="auto"/>
          </w:tcPr>
          <w:p w14:paraId="2FD57C48" w14:textId="526437B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77.9</w:t>
            </w:r>
          </w:p>
        </w:tc>
      </w:tr>
      <w:tr w:rsidR="0064097E" w:rsidRPr="009300F7" w14:paraId="548076EE" w14:textId="77777777">
        <w:trPr>
          <w:trHeight w:val="290"/>
        </w:trPr>
        <w:tc>
          <w:tcPr>
            <w:tcW w:w="1080" w:type="dxa"/>
            <w:vAlign w:val="center"/>
          </w:tcPr>
          <w:p w14:paraId="1FAD8EC8"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2880" w:type="dxa"/>
            <w:gridSpan w:val="2"/>
            <w:tcBorders>
              <w:top w:val="nil"/>
              <w:left w:val="nil"/>
              <w:bottom w:val="nil"/>
              <w:right w:val="nil"/>
            </w:tcBorders>
            <w:shd w:val="clear" w:color="auto" w:fill="auto"/>
          </w:tcPr>
          <w:p w14:paraId="604B5E9A" w14:textId="7F9B48A8"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Honolulu HI</w:t>
            </w:r>
          </w:p>
        </w:tc>
        <w:tc>
          <w:tcPr>
            <w:tcW w:w="828" w:type="dxa"/>
            <w:tcBorders>
              <w:top w:val="nil"/>
              <w:left w:val="nil"/>
              <w:bottom w:val="nil"/>
              <w:right w:val="nil"/>
            </w:tcBorders>
            <w:shd w:val="clear" w:color="auto" w:fill="auto"/>
          </w:tcPr>
          <w:p w14:paraId="467932E1" w14:textId="00BFC95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180.3</w:t>
            </w:r>
          </w:p>
        </w:tc>
        <w:tc>
          <w:tcPr>
            <w:tcW w:w="1080" w:type="dxa"/>
            <w:tcBorders>
              <w:left w:val="single" w:sz="4" w:space="0" w:color="auto"/>
            </w:tcBorders>
            <w:vAlign w:val="center"/>
          </w:tcPr>
          <w:p w14:paraId="32A1C206"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2</w:t>
            </w:r>
          </w:p>
        </w:tc>
        <w:tc>
          <w:tcPr>
            <w:tcW w:w="3240" w:type="dxa"/>
            <w:gridSpan w:val="2"/>
            <w:tcBorders>
              <w:top w:val="nil"/>
              <w:left w:val="nil"/>
              <w:bottom w:val="nil"/>
              <w:right w:val="nil"/>
            </w:tcBorders>
            <w:shd w:val="clear" w:color="auto" w:fill="auto"/>
          </w:tcPr>
          <w:p w14:paraId="029D2352" w14:textId="6E7D33A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Harlingen TX</w:t>
            </w:r>
          </w:p>
        </w:tc>
        <w:tc>
          <w:tcPr>
            <w:tcW w:w="810" w:type="dxa"/>
            <w:tcBorders>
              <w:top w:val="nil"/>
              <w:left w:val="nil"/>
              <w:bottom w:val="nil"/>
              <w:right w:val="nil"/>
            </w:tcBorders>
            <w:shd w:val="clear" w:color="auto" w:fill="auto"/>
          </w:tcPr>
          <w:p w14:paraId="6160AAAC" w14:textId="13AE92B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78.5</w:t>
            </w:r>
          </w:p>
        </w:tc>
      </w:tr>
      <w:tr w:rsidR="0064097E" w:rsidRPr="009300F7" w14:paraId="1F5AE90B" w14:textId="77777777">
        <w:trPr>
          <w:trHeight w:val="290"/>
        </w:trPr>
        <w:tc>
          <w:tcPr>
            <w:tcW w:w="1080" w:type="dxa"/>
            <w:vAlign w:val="center"/>
          </w:tcPr>
          <w:p w14:paraId="5F5F6F43"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2880" w:type="dxa"/>
            <w:gridSpan w:val="2"/>
            <w:tcBorders>
              <w:top w:val="nil"/>
              <w:left w:val="nil"/>
              <w:bottom w:val="nil"/>
              <w:right w:val="nil"/>
            </w:tcBorders>
            <w:shd w:val="clear" w:color="auto" w:fill="auto"/>
          </w:tcPr>
          <w:p w14:paraId="6B3C3F45" w14:textId="316A9CE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San Jose CA</w:t>
            </w:r>
          </w:p>
        </w:tc>
        <w:tc>
          <w:tcPr>
            <w:tcW w:w="828" w:type="dxa"/>
            <w:tcBorders>
              <w:top w:val="nil"/>
              <w:left w:val="nil"/>
              <w:bottom w:val="nil"/>
              <w:right w:val="nil"/>
            </w:tcBorders>
            <w:shd w:val="clear" w:color="auto" w:fill="auto"/>
          </w:tcPr>
          <w:p w14:paraId="0154236B" w14:textId="089A55F0"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174.4</w:t>
            </w:r>
          </w:p>
        </w:tc>
        <w:tc>
          <w:tcPr>
            <w:tcW w:w="1080" w:type="dxa"/>
            <w:tcBorders>
              <w:left w:val="single" w:sz="4" w:space="0" w:color="auto"/>
            </w:tcBorders>
            <w:vAlign w:val="center"/>
          </w:tcPr>
          <w:p w14:paraId="13DF8256"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3</w:t>
            </w:r>
          </w:p>
        </w:tc>
        <w:tc>
          <w:tcPr>
            <w:tcW w:w="3240" w:type="dxa"/>
            <w:gridSpan w:val="2"/>
            <w:tcBorders>
              <w:top w:val="nil"/>
              <w:left w:val="nil"/>
              <w:bottom w:val="nil"/>
              <w:right w:val="nil"/>
            </w:tcBorders>
            <w:shd w:val="clear" w:color="auto" w:fill="auto"/>
          </w:tcPr>
          <w:p w14:paraId="0097D525" w14:textId="4F4B23A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McAllen TX</w:t>
            </w:r>
          </w:p>
        </w:tc>
        <w:tc>
          <w:tcPr>
            <w:tcW w:w="810" w:type="dxa"/>
            <w:tcBorders>
              <w:top w:val="nil"/>
              <w:left w:val="nil"/>
              <w:bottom w:val="nil"/>
              <w:right w:val="nil"/>
            </w:tcBorders>
            <w:shd w:val="clear" w:color="auto" w:fill="auto"/>
          </w:tcPr>
          <w:p w14:paraId="5BD89863" w14:textId="2A9C59DA"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80.9</w:t>
            </w:r>
          </w:p>
        </w:tc>
      </w:tr>
      <w:tr w:rsidR="0064097E" w:rsidRPr="009300F7" w14:paraId="4902779D" w14:textId="77777777">
        <w:trPr>
          <w:trHeight w:val="290"/>
        </w:trPr>
        <w:tc>
          <w:tcPr>
            <w:tcW w:w="1080" w:type="dxa"/>
            <w:vAlign w:val="center"/>
          </w:tcPr>
          <w:p w14:paraId="7DAB14DF"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2880" w:type="dxa"/>
            <w:gridSpan w:val="2"/>
            <w:tcBorders>
              <w:top w:val="nil"/>
              <w:left w:val="nil"/>
              <w:bottom w:val="nil"/>
              <w:right w:val="nil"/>
            </w:tcBorders>
            <w:shd w:val="clear" w:color="auto" w:fill="auto"/>
          </w:tcPr>
          <w:p w14:paraId="274CB2F6" w14:textId="550AE57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San Francisco CA</w:t>
            </w:r>
          </w:p>
        </w:tc>
        <w:tc>
          <w:tcPr>
            <w:tcW w:w="828" w:type="dxa"/>
            <w:tcBorders>
              <w:top w:val="nil"/>
              <w:left w:val="nil"/>
              <w:bottom w:val="nil"/>
              <w:right w:val="nil"/>
            </w:tcBorders>
            <w:shd w:val="clear" w:color="auto" w:fill="auto"/>
          </w:tcPr>
          <w:p w14:paraId="447A5C43" w14:textId="5090BADA"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170.0</w:t>
            </w:r>
          </w:p>
        </w:tc>
        <w:tc>
          <w:tcPr>
            <w:tcW w:w="1080" w:type="dxa"/>
            <w:tcBorders>
              <w:left w:val="single" w:sz="4" w:space="0" w:color="auto"/>
            </w:tcBorders>
            <w:vAlign w:val="center"/>
          </w:tcPr>
          <w:p w14:paraId="25324877"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4</w:t>
            </w:r>
          </w:p>
        </w:tc>
        <w:tc>
          <w:tcPr>
            <w:tcW w:w="3240" w:type="dxa"/>
            <w:gridSpan w:val="2"/>
            <w:tcBorders>
              <w:top w:val="nil"/>
              <w:left w:val="nil"/>
              <w:bottom w:val="nil"/>
              <w:right w:val="nil"/>
            </w:tcBorders>
            <w:shd w:val="clear" w:color="auto" w:fill="auto"/>
          </w:tcPr>
          <w:p w14:paraId="1512B3B5" w14:textId="1FB6567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Tupelo MS</w:t>
            </w:r>
          </w:p>
        </w:tc>
        <w:tc>
          <w:tcPr>
            <w:tcW w:w="810" w:type="dxa"/>
            <w:tcBorders>
              <w:top w:val="nil"/>
              <w:left w:val="nil"/>
              <w:bottom w:val="nil"/>
              <w:right w:val="nil"/>
            </w:tcBorders>
            <w:shd w:val="clear" w:color="auto" w:fill="auto"/>
          </w:tcPr>
          <w:p w14:paraId="0984DC42" w14:textId="018AEDF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82.2</w:t>
            </w:r>
          </w:p>
        </w:tc>
      </w:tr>
      <w:tr w:rsidR="0064097E" w:rsidRPr="009300F7" w14:paraId="7B36B338" w14:textId="77777777">
        <w:trPr>
          <w:trHeight w:val="290"/>
        </w:trPr>
        <w:tc>
          <w:tcPr>
            <w:tcW w:w="1080" w:type="dxa"/>
            <w:vAlign w:val="center"/>
          </w:tcPr>
          <w:p w14:paraId="7EB39F3E"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2880" w:type="dxa"/>
            <w:gridSpan w:val="2"/>
            <w:tcBorders>
              <w:top w:val="nil"/>
              <w:left w:val="nil"/>
              <w:bottom w:val="nil"/>
              <w:right w:val="nil"/>
            </w:tcBorders>
            <w:shd w:val="clear" w:color="auto" w:fill="auto"/>
          </w:tcPr>
          <w:p w14:paraId="4BF10C3A" w14:textId="4E277B22"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New York (Brooklyn) NY</w:t>
            </w:r>
          </w:p>
        </w:tc>
        <w:tc>
          <w:tcPr>
            <w:tcW w:w="828" w:type="dxa"/>
            <w:tcBorders>
              <w:top w:val="nil"/>
              <w:left w:val="nil"/>
              <w:bottom w:val="nil"/>
              <w:right w:val="nil"/>
            </w:tcBorders>
            <w:shd w:val="clear" w:color="auto" w:fill="auto"/>
          </w:tcPr>
          <w:p w14:paraId="796EECE7" w14:textId="20E9FC2C"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160.5</w:t>
            </w:r>
          </w:p>
        </w:tc>
        <w:tc>
          <w:tcPr>
            <w:tcW w:w="1080" w:type="dxa"/>
            <w:tcBorders>
              <w:left w:val="single" w:sz="4" w:space="0" w:color="auto"/>
            </w:tcBorders>
            <w:vAlign w:val="center"/>
          </w:tcPr>
          <w:p w14:paraId="2F833FF9"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5</w:t>
            </w:r>
          </w:p>
        </w:tc>
        <w:tc>
          <w:tcPr>
            <w:tcW w:w="3240" w:type="dxa"/>
            <w:gridSpan w:val="2"/>
            <w:tcBorders>
              <w:top w:val="nil"/>
              <w:left w:val="nil"/>
              <w:bottom w:val="nil"/>
              <w:right w:val="nil"/>
            </w:tcBorders>
            <w:shd w:val="clear" w:color="auto" w:fill="auto"/>
          </w:tcPr>
          <w:p w14:paraId="5939F638" w14:textId="5CEEC159"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Ponca City OK</w:t>
            </w:r>
          </w:p>
        </w:tc>
        <w:tc>
          <w:tcPr>
            <w:tcW w:w="810" w:type="dxa"/>
            <w:tcBorders>
              <w:top w:val="nil"/>
              <w:left w:val="nil"/>
              <w:bottom w:val="nil"/>
              <w:right w:val="nil"/>
            </w:tcBorders>
            <w:shd w:val="clear" w:color="auto" w:fill="auto"/>
          </w:tcPr>
          <w:p w14:paraId="1FA7961E" w14:textId="6FE3C8ED"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82.3</w:t>
            </w:r>
          </w:p>
        </w:tc>
      </w:tr>
      <w:tr w:rsidR="0064097E" w:rsidRPr="009300F7" w14:paraId="10D1A79A" w14:textId="77777777">
        <w:trPr>
          <w:trHeight w:val="290"/>
        </w:trPr>
        <w:tc>
          <w:tcPr>
            <w:tcW w:w="1080" w:type="dxa"/>
            <w:vAlign w:val="center"/>
          </w:tcPr>
          <w:p w14:paraId="7C865FA1"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2880" w:type="dxa"/>
            <w:gridSpan w:val="2"/>
            <w:tcBorders>
              <w:top w:val="nil"/>
              <w:left w:val="nil"/>
              <w:bottom w:val="nil"/>
              <w:right w:val="nil"/>
            </w:tcBorders>
            <w:shd w:val="clear" w:color="auto" w:fill="auto"/>
          </w:tcPr>
          <w:p w14:paraId="4A0FA018" w14:textId="62B5621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Orange County CA</w:t>
            </w:r>
          </w:p>
        </w:tc>
        <w:tc>
          <w:tcPr>
            <w:tcW w:w="828" w:type="dxa"/>
            <w:tcBorders>
              <w:top w:val="nil"/>
              <w:left w:val="nil"/>
              <w:bottom w:val="nil"/>
              <w:right w:val="nil"/>
            </w:tcBorders>
            <w:shd w:val="clear" w:color="auto" w:fill="auto"/>
          </w:tcPr>
          <w:p w14:paraId="547D9541" w14:textId="6AB1E844"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150.3</w:t>
            </w:r>
          </w:p>
        </w:tc>
        <w:tc>
          <w:tcPr>
            <w:tcW w:w="1080" w:type="dxa"/>
            <w:tcBorders>
              <w:left w:val="single" w:sz="4" w:space="0" w:color="auto"/>
            </w:tcBorders>
            <w:vAlign w:val="center"/>
          </w:tcPr>
          <w:p w14:paraId="70D3C4F6"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6</w:t>
            </w:r>
          </w:p>
        </w:tc>
        <w:tc>
          <w:tcPr>
            <w:tcW w:w="3240" w:type="dxa"/>
            <w:gridSpan w:val="2"/>
            <w:tcBorders>
              <w:top w:val="nil"/>
              <w:left w:val="nil"/>
              <w:bottom w:val="nil"/>
              <w:right w:val="nil"/>
            </w:tcBorders>
            <w:shd w:val="clear" w:color="auto" w:fill="auto"/>
          </w:tcPr>
          <w:p w14:paraId="07381638" w14:textId="127B3938"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Muskogee OK</w:t>
            </w:r>
          </w:p>
        </w:tc>
        <w:tc>
          <w:tcPr>
            <w:tcW w:w="810" w:type="dxa"/>
            <w:tcBorders>
              <w:top w:val="nil"/>
              <w:left w:val="nil"/>
              <w:bottom w:val="nil"/>
              <w:right w:val="nil"/>
            </w:tcBorders>
            <w:shd w:val="clear" w:color="auto" w:fill="auto"/>
          </w:tcPr>
          <w:p w14:paraId="0DB917C5" w14:textId="6A382A15"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82.4</w:t>
            </w:r>
          </w:p>
        </w:tc>
      </w:tr>
      <w:tr w:rsidR="0064097E" w:rsidRPr="009300F7" w14:paraId="374EE41C" w14:textId="77777777">
        <w:trPr>
          <w:trHeight w:val="290"/>
        </w:trPr>
        <w:tc>
          <w:tcPr>
            <w:tcW w:w="1080" w:type="dxa"/>
            <w:vAlign w:val="center"/>
          </w:tcPr>
          <w:p w14:paraId="561779EA"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2880" w:type="dxa"/>
            <w:gridSpan w:val="2"/>
            <w:tcBorders>
              <w:top w:val="nil"/>
              <w:left w:val="nil"/>
              <w:bottom w:val="nil"/>
              <w:right w:val="nil"/>
            </w:tcBorders>
            <w:shd w:val="clear" w:color="auto" w:fill="auto"/>
          </w:tcPr>
          <w:p w14:paraId="5DACDDF9" w14:textId="4DFB5073"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Los Angeles-Long Beach CA</w:t>
            </w:r>
          </w:p>
        </w:tc>
        <w:tc>
          <w:tcPr>
            <w:tcW w:w="828" w:type="dxa"/>
            <w:tcBorders>
              <w:top w:val="nil"/>
              <w:left w:val="nil"/>
              <w:bottom w:val="nil"/>
              <w:right w:val="nil"/>
            </w:tcBorders>
            <w:shd w:val="clear" w:color="auto" w:fill="auto"/>
          </w:tcPr>
          <w:p w14:paraId="4BCC7CBD" w14:textId="19994F1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148.9</w:t>
            </w:r>
          </w:p>
        </w:tc>
        <w:tc>
          <w:tcPr>
            <w:tcW w:w="1080" w:type="dxa"/>
            <w:tcBorders>
              <w:left w:val="single" w:sz="4" w:space="0" w:color="auto"/>
            </w:tcBorders>
            <w:vAlign w:val="center"/>
          </w:tcPr>
          <w:p w14:paraId="7EDA2BFC"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7</w:t>
            </w:r>
          </w:p>
        </w:tc>
        <w:tc>
          <w:tcPr>
            <w:tcW w:w="3240" w:type="dxa"/>
            <w:gridSpan w:val="2"/>
            <w:tcBorders>
              <w:top w:val="nil"/>
              <w:left w:val="nil"/>
              <w:bottom w:val="nil"/>
              <w:right w:val="nil"/>
            </w:tcBorders>
            <w:shd w:val="clear" w:color="auto" w:fill="auto"/>
          </w:tcPr>
          <w:p w14:paraId="12D64DC6" w14:textId="16EBFC44"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Conway AR</w:t>
            </w:r>
          </w:p>
        </w:tc>
        <w:tc>
          <w:tcPr>
            <w:tcW w:w="810" w:type="dxa"/>
            <w:tcBorders>
              <w:top w:val="nil"/>
              <w:left w:val="nil"/>
              <w:bottom w:val="nil"/>
              <w:right w:val="nil"/>
            </w:tcBorders>
            <w:shd w:val="clear" w:color="auto" w:fill="auto"/>
          </w:tcPr>
          <w:p w14:paraId="427255B5" w14:textId="05532E35"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82.6</w:t>
            </w:r>
          </w:p>
        </w:tc>
      </w:tr>
      <w:tr w:rsidR="0064097E" w:rsidRPr="009300F7" w14:paraId="7630A0E3" w14:textId="77777777">
        <w:trPr>
          <w:trHeight w:val="290"/>
        </w:trPr>
        <w:tc>
          <w:tcPr>
            <w:tcW w:w="1080" w:type="dxa"/>
            <w:vAlign w:val="center"/>
          </w:tcPr>
          <w:p w14:paraId="6891DA77"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2880" w:type="dxa"/>
            <w:gridSpan w:val="2"/>
            <w:tcBorders>
              <w:top w:val="nil"/>
              <w:left w:val="nil"/>
              <w:bottom w:val="nil"/>
              <w:right w:val="nil"/>
            </w:tcBorders>
            <w:shd w:val="clear" w:color="auto" w:fill="auto"/>
          </w:tcPr>
          <w:p w14:paraId="3E76EE55" w14:textId="63830E2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Washington DC</w:t>
            </w:r>
          </w:p>
        </w:tc>
        <w:tc>
          <w:tcPr>
            <w:tcW w:w="828" w:type="dxa"/>
            <w:tcBorders>
              <w:top w:val="nil"/>
              <w:left w:val="nil"/>
              <w:bottom w:val="nil"/>
              <w:right w:val="nil"/>
            </w:tcBorders>
            <w:shd w:val="clear" w:color="auto" w:fill="auto"/>
          </w:tcPr>
          <w:p w14:paraId="73A20A51" w14:textId="3CF6064F"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146.8</w:t>
            </w:r>
          </w:p>
        </w:tc>
        <w:tc>
          <w:tcPr>
            <w:tcW w:w="1080" w:type="dxa"/>
            <w:tcBorders>
              <w:left w:val="single" w:sz="4" w:space="0" w:color="auto"/>
            </w:tcBorders>
            <w:vAlign w:val="center"/>
          </w:tcPr>
          <w:p w14:paraId="2A72C4A8"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8</w:t>
            </w:r>
          </w:p>
        </w:tc>
        <w:tc>
          <w:tcPr>
            <w:tcW w:w="3240" w:type="dxa"/>
            <w:gridSpan w:val="2"/>
            <w:tcBorders>
              <w:top w:val="nil"/>
              <w:left w:val="nil"/>
              <w:bottom w:val="nil"/>
              <w:right w:val="nil"/>
            </w:tcBorders>
            <w:shd w:val="clear" w:color="auto" w:fill="auto"/>
          </w:tcPr>
          <w:p w14:paraId="0FEF24FF" w14:textId="142CCAEA"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Florence AL</w:t>
            </w:r>
          </w:p>
        </w:tc>
        <w:tc>
          <w:tcPr>
            <w:tcW w:w="810" w:type="dxa"/>
            <w:tcBorders>
              <w:top w:val="nil"/>
              <w:left w:val="nil"/>
              <w:bottom w:val="nil"/>
              <w:right w:val="nil"/>
            </w:tcBorders>
            <w:shd w:val="clear" w:color="auto" w:fill="auto"/>
          </w:tcPr>
          <w:p w14:paraId="646AF472" w14:textId="696B3EF1"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83.3</w:t>
            </w:r>
          </w:p>
        </w:tc>
      </w:tr>
      <w:tr w:rsidR="0064097E" w:rsidRPr="009300F7" w14:paraId="70024F1D" w14:textId="77777777">
        <w:trPr>
          <w:trHeight w:val="290"/>
        </w:trPr>
        <w:tc>
          <w:tcPr>
            <w:tcW w:w="1080" w:type="dxa"/>
            <w:vAlign w:val="center"/>
          </w:tcPr>
          <w:p w14:paraId="42991EBF"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2880" w:type="dxa"/>
            <w:gridSpan w:val="2"/>
            <w:tcBorders>
              <w:top w:val="nil"/>
              <w:left w:val="nil"/>
              <w:bottom w:val="nil"/>
              <w:right w:val="nil"/>
            </w:tcBorders>
            <w:shd w:val="clear" w:color="auto" w:fill="auto"/>
          </w:tcPr>
          <w:p w14:paraId="073D7003" w14:textId="3F577CD0"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Boston MA</w:t>
            </w:r>
          </w:p>
        </w:tc>
        <w:tc>
          <w:tcPr>
            <w:tcW w:w="828" w:type="dxa"/>
            <w:tcBorders>
              <w:top w:val="nil"/>
              <w:left w:val="nil"/>
              <w:bottom w:val="nil"/>
              <w:right w:val="nil"/>
            </w:tcBorders>
            <w:shd w:val="clear" w:color="auto" w:fill="auto"/>
          </w:tcPr>
          <w:p w14:paraId="5AFEE8C6" w14:textId="13B5E9A2" w:rsidR="0064097E" w:rsidRPr="0064097E" w:rsidRDefault="0064097E" w:rsidP="0064097E">
            <w:pPr>
              <w:autoSpaceDE w:val="0"/>
              <w:autoSpaceDN w:val="0"/>
              <w:adjustRightInd w:val="0"/>
              <w:jc w:val="center"/>
              <w:rPr>
                <w:rFonts w:ascii="Arial" w:hAnsi="Arial" w:cs="Arial"/>
                <w:color w:val="000000"/>
                <w:sz w:val="22"/>
                <w:szCs w:val="22"/>
              </w:rPr>
            </w:pPr>
            <w:r w:rsidRPr="0064097E">
              <w:rPr>
                <w:rFonts w:ascii="Arial" w:hAnsi="Arial" w:cs="Arial"/>
                <w:sz w:val="22"/>
                <w:szCs w:val="22"/>
              </w:rPr>
              <w:t>146.5</w:t>
            </w:r>
          </w:p>
        </w:tc>
        <w:tc>
          <w:tcPr>
            <w:tcW w:w="1080" w:type="dxa"/>
            <w:tcBorders>
              <w:left w:val="single" w:sz="4" w:space="0" w:color="auto"/>
            </w:tcBorders>
            <w:vAlign w:val="center"/>
          </w:tcPr>
          <w:p w14:paraId="0034CAED"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9</w:t>
            </w:r>
          </w:p>
        </w:tc>
        <w:tc>
          <w:tcPr>
            <w:tcW w:w="3240" w:type="dxa"/>
            <w:gridSpan w:val="2"/>
            <w:tcBorders>
              <w:top w:val="nil"/>
              <w:left w:val="nil"/>
              <w:bottom w:val="nil"/>
              <w:right w:val="nil"/>
            </w:tcBorders>
            <w:shd w:val="clear" w:color="auto" w:fill="auto"/>
          </w:tcPr>
          <w:p w14:paraId="04599528" w14:textId="2F6E454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Kalamazoo MI</w:t>
            </w:r>
          </w:p>
        </w:tc>
        <w:tc>
          <w:tcPr>
            <w:tcW w:w="810" w:type="dxa"/>
            <w:tcBorders>
              <w:top w:val="nil"/>
              <w:left w:val="nil"/>
              <w:bottom w:val="nil"/>
              <w:right w:val="nil"/>
            </w:tcBorders>
            <w:shd w:val="clear" w:color="auto" w:fill="auto"/>
          </w:tcPr>
          <w:p w14:paraId="7BBBD5B4" w14:textId="78A267CB"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83.6</w:t>
            </w:r>
          </w:p>
        </w:tc>
      </w:tr>
      <w:tr w:rsidR="0064097E" w:rsidRPr="009300F7" w14:paraId="2EF95159" w14:textId="77777777" w:rsidTr="00A74B65">
        <w:trPr>
          <w:trHeight w:val="393"/>
        </w:trPr>
        <w:tc>
          <w:tcPr>
            <w:tcW w:w="1080" w:type="dxa"/>
          </w:tcPr>
          <w:p w14:paraId="23A1F4D0"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2880" w:type="dxa"/>
            <w:gridSpan w:val="2"/>
            <w:tcBorders>
              <w:top w:val="nil"/>
              <w:left w:val="nil"/>
              <w:bottom w:val="nil"/>
              <w:right w:val="nil"/>
            </w:tcBorders>
            <w:shd w:val="clear" w:color="auto" w:fill="auto"/>
          </w:tcPr>
          <w:p w14:paraId="17398AFC" w14:textId="56AD49C4"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Seattle WA</w:t>
            </w:r>
          </w:p>
        </w:tc>
        <w:tc>
          <w:tcPr>
            <w:tcW w:w="828" w:type="dxa"/>
            <w:tcBorders>
              <w:top w:val="nil"/>
              <w:left w:val="nil"/>
              <w:bottom w:val="nil"/>
              <w:right w:val="nil"/>
            </w:tcBorders>
            <w:shd w:val="clear" w:color="auto" w:fill="auto"/>
          </w:tcPr>
          <w:p w14:paraId="15959A99" w14:textId="11049C22"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144.6</w:t>
            </w:r>
          </w:p>
        </w:tc>
        <w:tc>
          <w:tcPr>
            <w:tcW w:w="1080" w:type="dxa"/>
            <w:tcBorders>
              <w:left w:val="single" w:sz="4" w:space="0" w:color="auto"/>
            </w:tcBorders>
          </w:tcPr>
          <w:p w14:paraId="2758AA23" w14:textId="77777777" w:rsidR="0064097E" w:rsidRPr="005F14BE" w:rsidRDefault="0064097E" w:rsidP="0064097E">
            <w:pPr>
              <w:autoSpaceDE w:val="0"/>
              <w:autoSpaceDN w:val="0"/>
              <w:adjustRightInd w:val="0"/>
              <w:jc w:val="center"/>
              <w:rPr>
                <w:rFonts w:ascii="Arial" w:hAnsi="Arial" w:cs="Arial"/>
                <w:sz w:val="22"/>
                <w:szCs w:val="20"/>
              </w:rPr>
            </w:pPr>
            <w:r w:rsidRPr="005F14BE">
              <w:rPr>
                <w:rFonts w:ascii="Arial" w:hAnsi="Arial" w:cs="Arial"/>
                <w:sz w:val="22"/>
                <w:szCs w:val="20"/>
              </w:rPr>
              <w:t>10</w:t>
            </w:r>
          </w:p>
        </w:tc>
        <w:tc>
          <w:tcPr>
            <w:tcW w:w="3240" w:type="dxa"/>
            <w:gridSpan w:val="2"/>
            <w:tcBorders>
              <w:top w:val="nil"/>
              <w:left w:val="nil"/>
              <w:bottom w:val="nil"/>
              <w:right w:val="nil"/>
            </w:tcBorders>
            <w:shd w:val="clear" w:color="auto" w:fill="auto"/>
          </w:tcPr>
          <w:p w14:paraId="0F83D04B" w14:textId="097FC212"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Lawton OK</w:t>
            </w:r>
          </w:p>
        </w:tc>
        <w:tc>
          <w:tcPr>
            <w:tcW w:w="810" w:type="dxa"/>
            <w:tcBorders>
              <w:top w:val="nil"/>
              <w:left w:val="nil"/>
              <w:bottom w:val="nil"/>
              <w:right w:val="nil"/>
            </w:tcBorders>
            <w:shd w:val="clear" w:color="auto" w:fill="auto"/>
          </w:tcPr>
          <w:p w14:paraId="4EDA7CFA" w14:textId="612228B6" w:rsidR="0064097E" w:rsidRPr="0064097E" w:rsidRDefault="0064097E" w:rsidP="0064097E">
            <w:pPr>
              <w:autoSpaceDE w:val="0"/>
              <w:autoSpaceDN w:val="0"/>
              <w:adjustRightInd w:val="0"/>
              <w:rPr>
                <w:rFonts w:ascii="Arial" w:hAnsi="Arial" w:cs="Arial"/>
                <w:color w:val="000000"/>
                <w:sz w:val="22"/>
                <w:szCs w:val="22"/>
              </w:rPr>
            </w:pPr>
            <w:r w:rsidRPr="0064097E">
              <w:rPr>
                <w:rFonts w:ascii="Arial" w:hAnsi="Arial" w:cs="Arial"/>
                <w:sz w:val="22"/>
                <w:szCs w:val="22"/>
              </w:rPr>
              <w:t>83.6</w:t>
            </w:r>
          </w:p>
        </w:tc>
      </w:tr>
    </w:tbl>
    <w:p w14:paraId="2DB28499" w14:textId="77777777" w:rsidR="000C7CF6" w:rsidRPr="005F14BE" w:rsidRDefault="000C7CF6" w:rsidP="00F31ACB">
      <w:pPr>
        <w:rPr>
          <w:rFonts w:ascii="Arial" w:hAnsi="Arial" w:cs="Arial"/>
        </w:rPr>
      </w:pPr>
    </w:p>
    <w:p w14:paraId="34959D13" w14:textId="77777777" w:rsidR="000C7CF6" w:rsidRPr="005F14BE" w:rsidRDefault="000C7CF6" w:rsidP="00F31ACB">
      <w:pPr>
        <w:rPr>
          <w:rFonts w:ascii="Arial" w:hAnsi="Arial" w:cs="Arial"/>
        </w:rPr>
      </w:pPr>
    </w:p>
    <w:p w14:paraId="6AB7C448" w14:textId="3B033151" w:rsidR="000C7CF6" w:rsidRPr="005F14BE" w:rsidRDefault="000C7CF6" w:rsidP="00F31ACB">
      <w:pPr>
        <w:tabs>
          <w:tab w:val="left" w:pos="5040"/>
        </w:tabs>
        <w:spacing w:after="180"/>
        <w:rPr>
          <w:rFonts w:ascii="Arial" w:hAnsi="Arial" w:cs="Arial"/>
          <w:kern w:val="20"/>
          <w:sz w:val="21"/>
        </w:rPr>
      </w:pPr>
      <w:r w:rsidRPr="005F14BE">
        <w:rPr>
          <w:rFonts w:ascii="Arial" w:hAnsi="Arial" w:cs="Arial"/>
          <w:kern w:val="20"/>
          <w:sz w:val="21"/>
        </w:rPr>
        <w:t xml:space="preserve">The </w:t>
      </w:r>
      <w:r w:rsidRPr="005F14BE">
        <w:rPr>
          <w:rFonts w:ascii="Arial" w:hAnsi="Arial" w:cs="Arial"/>
          <w:i/>
          <w:kern w:val="20"/>
          <w:sz w:val="21"/>
        </w:rPr>
        <w:t>Cost of Living Index</w:t>
      </w:r>
      <w:r w:rsidRPr="005F14BE">
        <w:rPr>
          <w:rFonts w:ascii="Arial" w:hAnsi="Arial" w:cs="Arial"/>
          <w:kern w:val="20"/>
          <w:sz w:val="21"/>
        </w:rPr>
        <w:t xml:space="preserve"> measures regional differences in the cost of consumer goods and services, excluding taxes and non-consumer expenditures, for professional and managerial households in the top income quintile</w:t>
      </w:r>
      <w:r w:rsidR="00252928">
        <w:rPr>
          <w:rFonts w:ascii="Arial" w:hAnsi="Arial" w:cs="Arial"/>
          <w:kern w:val="20"/>
          <w:sz w:val="21"/>
        </w:rPr>
        <w:t>. C</w:t>
      </w:r>
      <w:r w:rsidRPr="005F14BE">
        <w:rPr>
          <w:rFonts w:ascii="Arial" w:hAnsi="Arial" w:cs="Arial"/>
          <w:kern w:val="20"/>
          <w:sz w:val="21"/>
        </w:rPr>
        <w:t>overing 6</w:t>
      </w:r>
      <w:r w:rsidR="00D865BE">
        <w:rPr>
          <w:rFonts w:ascii="Arial" w:hAnsi="Arial" w:cs="Arial"/>
          <w:kern w:val="20"/>
          <w:sz w:val="21"/>
        </w:rPr>
        <w:t>1</w:t>
      </w:r>
      <w:r w:rsidRPr="005F14BE">
        <w:rPr>
          <w:rFonts w:ascii="Arial" w:hAnsi="Arial" w:cs="Arial"/>
          <w:kern w:val="20"/>
          <w:sz w:val="21"/>
        </w:rPr>
        <w:t xml:space="preserve"> different items</w:t>
      </w:r>
      <w:r w:rsidR="00252928">
        <w:rPr>
          <w:rFonts w:ascii="Arial" w:hAnsi="Arial" w:cs="Arial"/>
          <w:kern w:val="20"/>
          <w:sz w:val="21"/>
        </w:rPr>
        <w:t xml:space="preserve">, </w:t>
      </w:r>
      <w:r w:rsidRPr="005F14BE">
        <w:rPr>
          <w:rFonts w:ascii="Arial" w:hAnsi="Arial" w:cs="Arial"/>
          <w:kern w:val="20"/>
          <w:sz w:val="21"/>
        </w:rPr>
        <w:t>prices are collected quarterly by chambers of commerce, economic development organizations, and university applied economic centers in each participating urban area. Small differences should not be interpreted as showing a measurable difference.</w:t>
      </w:r>
    </w:p>
    <w:p w14:paraId="7C0F2DE0" w14:textId="720E7ACA" w:rsidR="00252928" w:rsidRDefault="000C7CF6" w:rsidP="000C7CF6">
      <w:pPr>
        <w:pStyle w:val="BodyText2"/>
        <w:jc w:val="left"/>
        <w:rPr>
          <w:rFonts w:ascii="Arial" w:hAnsi="Arial" w:cs="Arial"/>
          <w:sz w:val="21"/>
          <w:szCs w:val="24"/>
        </w:rPr>
      </w:pPr>
      <w:r w:rsidRPr="005F14BE">
        <w:rPr>
          <w:rFonts w:ascii="Arial" w:hAnsi="Arial" w:cs="Arial"/>
          <w:sz w:val="21"/>
          <w:szCs w:val="24"/>
        </w:rPr>
        <w:t xml:space="preserve">The composite index is based on six component categories – housing, utilities, grocery items, transportation, health care, and miscellaneous goods and services. </w:t>
      </w:r>
    </w:p>
    <w:p w14:paraId="3ED70B22" w14:textId="77777777" w:rsidR="00E35AF5" w:rsidRPr="005F14BE" w:rsidRDefault="00E35AF5" w:rsidP="000C7CF6">
      <w:pPr>
        <w:pStyle w:val="BodyText2"/>
        <w:jc w:val="left"/>
        <w:rPr>
          <w:rFonts w:ascii="Arial" w:hAnsi="Arial" w:cs="Arial"/>
          <w:sz w:val="21"/>
          <w:szCs w:val="24"/>
        </w:rPr>
      </w:pPr>
    </w:p>
    <w:tbl>
      <w:tblPr>
        <w:tblW w:w="9309" w:type="dxa"/>
        <w:jc w:val="center"/>
        <w:tblLayout w:type="fixed"/>
        <w:tblLook w:val="0000" w:firstRow="0" w:lastRow="0" w:firstColumn="0" w:lastColumn="0" w:noHBand="0" w:noVBand="0"/>
      </w:tblPr>
      <w:tblGrid>
        <w:gridCol w:w="1015"/>
        <w:gridCol w:w="2762"/>
        <w:gridCol w:w="206"/>
        <w:gridCol w:w="795"/>
        <w:gridCol w:w="1033"/>
        <w:gridCol w:w="62"/>
        <w:gridCol w:w="2569"/>
        <w:gridCol w:w="65"/>
        <w:gridCol w:w="802"/>
      </w:tblGrid>
      <w:tr w:rsidR="005F14BE" w:rsidRPr="005F14BE" w14:paraId="2C02E5FB" w14:textId="77777777" w:rsidTr="76994BAA">
        <w:trPr>
          <w:trHeight w:val="290"/>
          <w:jc w:val="center"/>
        </w:trPr>
        <w:tc>
          <w:tcPr>
            <w:tcW w:w="9309" w:type="dxa"/>
            <w:gridSpan w:val="9"/>
            <w:tcBorders>
              <w:bottom w:val="single" w:sz="4" w:space="0" w:color="auto"/>
            </w:tcBorders>
          </w:tcPr>
          <w:p w14:paraId="14060D6E" w14:textId="77777777" w:rsidR="00D50C2D" w:rsidRPr="005F14BE" w:rsidRDefault="003434B7" w:rsidP="000F5E78">
            <w:pPr>
              <w:pStyle w:val="BodyText2"/>
              <w:jc w:val="left"/>
              <w:rPr>
                <w:rFonts w:ascii="Arial" w:hAnsi="Arial" w:cs="Arial"/>
                <w:b/>
                <w:bCs/>
                <w:sz w:val="28"/>
                <w:szCs w:val="28"/>
              </w:rPr>
            </w:pPr>
            <w:r w:rsidRPr="005F14BE">
              <w:rPr>
                <w:rFonts w:ascii="Arial" w:hAnsi="Arial" w:cs="Arial"/>
                <w:b/>
                <w:bCs/>
                <w:sz w:val="24"/>
                <w:szCs w:val="28"/>
              </w:rPr>
              <w:t xml:space="preserve">What Do </w:t>
            </w:r>
            <w:r w:rsidR="003C2BBD" w:rsidRPr="005F14BE">
              <w:rPr>
                <w:rFonts w:ascii="Arial" w:hAnsi="Arial" w:cs="Arial"/>
                <w:b/>
                <w:bCs/>
                <w:sz w:val="24"/>
                <w:szCs w:val="28"/>
              </w:rPr>
              <w:t>Groceries</w:t>
            </w:r>
            <w:r w:rsidRPr="005F14BE">
              <w:rPr>
                <w:rFonts w:ascii="Arial" w:hAnsi="Arial" w:cs="Arial"/>
                <w:b/>
                <w:bCs/>
                <w:sz w:val="24"/>
                <w:szCs w:val="28"/>
              </w:rPr>
              <w:t xml:space="preserve"> Cost</w:t>
            </w:r>
            <w:r w:rsidR="00D50C2D" w:rsidRPr="005F14BE">
              <w:rPr>
                <w:rFonts w:ascii="Arial" w:hAnsi="Arial" w:cs="Arial"/>
                <w:b/>
                <w:bCs/>
                <w:sz w:val="24"/>
                <w:szCs w:val="28"/>
              </w:rPr>
              <w:t>?</w:t>
            </w:r>
          </w:p>
          <w:p w14:paraId="473DEEE1" w14:textId="3E11D374" w:rsidR="00D50C2D" w:rsidRPr="004954C1" w:rsidRDefault="00D65D0B" w:rsidP="000F5E78">
            <w:pPr>
              <w:autoSpaceDE w:val="0"/>
              <w:autoSpaceDN w:val="0"/>
              <w:adjustRightInd w:val="0"/>
              <w:rPr>
                <w:rFonts w:ascii="Arial" w:hAnsi="Arial" w:cs="Arial"/>
                <w:sz w:val="21"/>
                <w:szCs w:val="21"/>
              </w:rPr>
            </w:pPr>
            <w:r w:rsidRPr="00D65D0B">
              <w:rPr>
                <w:rFonts w:ascii="Arial" w:hAnsi="Arial" w:cs="Arial"/>
                <w:sz w:val="21"/>
                <w:szCs w:val="21"/>
              </w:rPr>
              <w:t>The C2ER grocery index is drawing data from over 320 million grocery prices derived from 1.5 trillion historical data points collected across the country to generate the most accurate data possible. Datasembly’s weekly collection covers 200 national and regional retailers and quick service restaurants representing over 150,000 brick and mortar locations across 30,000 zip codes. With food prices still being a big part of the national conversation, C2ER decided to feature those communities once again with the most and least expensive food costs as measured by the grocery item index number. The twenty-six items priced come from a variety of surrogate categories to represent the grocery item component of the index.</w:t>
            </w:r>
            <w:r w:rsidR="00036631" w:rsidRPr="004954C1">
              <w:rPr>
                <w:rFonts w:ascii="Arial" w:hAnsi="Arial" w:cs="Arial"/>
                <w:sz w:val="21"/>
                <w:szCs w:val="21"/>
              </w:rPr>
              <w:t xml:space="preserve"> </w:t>
            </w:r>
            <w:r w:rsidR="00D54B80" w:rsidRPr="004954C1">
              <w:rPr>
                <w:rFonts w:ascii="Arial" w:hAnsi="Arial" w:cs="Arial"/>
                <w:sz w:val="21"/>
                <w:szCs w:val="21"/>
              </w:rPr>
              <w:t xml:space="preserve">With food prices still being a big part of the national conversation, C2ER decided to </w:t>
            </w:r>
            <w:r w:rsidR="00CC7114" w:rsidRPr="004954C1">
              <w:rPr>
                <w:rFonts w:ascii="Arial" w:hAnsi="Arial" w:cs="Arial"/>
                <w:sz w:val="21"/>
                <w:szCs w:val="21"/>
              </w:rPr>
              <w:t>feature those communities once again</w:t>
            </w:r>
            <w:r w:rsidR="00D54B80" w:rsidRPr="004954C1">
              <w:rPr>
                <w:rFonts w:ascii="Arial" w:hAnsi="Arial" w:cs="Arial"/>
                <w:sz w:val="21"/>
                <w:szCs w:val="21"/>
              </w:rPr>
              <w:t xml:space="preserve"> with the most and least expensive food costs as measured by the grocery item index number.</w:t>
            </w:r>
            <w:r w:rsidR="00D50C2D" w:rsidRPr="004954C1">
              <w:rPr>
                <w:rFonts w:ascii="Arial" w:hAnsi="Arial" w:cs="Arial"/>
                <w:sz w:val="21"/>
                <w:szCs w:val="21"/>
              </w:rPr>
              <w:t xml:space="preserve"> </w:t>
            </w:r>
            <w:r w:rsidR="00CC7114" w:rsidRPr="004954C1">
              <w:rPr>
                <w:rFonts w:ascii="Arial" w:hAnsi="Arial" w:cs="Arial"/>
                <w:sz w:val="21"/>
                <w:szCs w:val="21"/>
              </w:rPr>
              <w:t>The t</w:t>
            </w:r>
            <w:r w:rsidR="003C2BBD" w:rsidRPr="004954C1">
              <w:rPr>
                <w:rFonts w:ascii="Arial" w:hAnsi="Arial" w:cs="Arial"/>
                <w:sz w:val="21"/>
                <w:szCs w:val="21"/>
              </w:rPr>
              <w:t>wenty-six</w:t>
            </w:r>
            <w:r w:rsidR="00D50C2D" w:rsidRPr="004954C1">
              <w:rPr>
                <w:rFonts w:ascii="Arial" w:hAnsi="Arial" w:cs="Arial"/>
                <w:sz w:val="21"/>
                <w:szCs w:val="21"/>
              </w:rPr>
              <w:t xml:space="preserve"> items</w:t>
            </w:r>
            <w:r w:rsidR="00CC7114" w:rsidRPr="004954C1">
              <w:rPr>
                <w:rFonts w:ascii="Arial" w:hAnsi="Arial" w:cs="Arial"/>
                <w:sz w:val="21"/>
                <w:szCs w:val="21"/>
              </w:rPr>
              <w:t xml:space="preserve"> priced come</w:t>
            </w:r>
            <w:r w:rsidR="00D50C2D" w:rsidRPr="004954C1">
              <w:rPr>
                <w:rFonts w:ascii="Arial" w:hAnsi="Arial" w:cs="Arial"/>
                <w:sz w:val="21"/>
                <w:szCs w:val="21"/>
              </w:rPr>
              <w:t xml:space="preserve"> </w:t>
            </w:r>
            <w:r w:rsidR="003C2BBD" w:rsidRPr="004954C1">
              <w:rPr>
                <w:rFonts w:ascii="Arial" w:hAnsi="Arial" w:cs="Arial"/>
                <w:sz w:val="21"/>
                <w:szCs w:val="21"/>
              </w:rPr>
              <w:t xml:space="preserve">from </w:t>
            </w:r>
            <w:r w:rsidR="00F627D8" w:rsidRPr="004954C1">
              <w:rPr>
                <w:rFonts w:ascii="Arial" w:hAnsi="Arial" w:cs="Arial"/>
                <w:sz w:val="21"/>
                <w:szCs w:val="21"/>
              </w:rPr>
              <w:t>a variety of</w:t>
            </w:r>
            <w:r w:rsidR="003C2BBD" w:rsidRPr="004954C1">
              <w:rPr>
                <w:rFonts w:ascii="Arial" w:hAnsi="Arial" w:cs="Arial"/>
                <w:sz w:val="21"/>
                <w:szCs w:val="21"/>
              </w:rPr>
              <w:t xml:space="preserve"> </w:t>
            </w:r>
            <w:r w:rsidR="00C8362A" w:rsidRPr="004954C1">
              <w:rPr>
                <w:rFonts w:ascii="Arial" w:hAnsi="Arial" w:cs="Arial"/>
                <w:sz w:val="21"/>
                <w:szCs w:val="21"/>
              </w:rPr>
              <w:t xml:space="preserve">surrogate </w:t>
            </w:r>
            <w:r w:rsidR="003C2BBD" w:rsidRPr="004954C1">
              <w:rPr>
                <w:rFonts w:ascii="Arial" w:hAnsi="Arial" w:cs="Arial"/>
                <w:sz w:val="21"/>
                <w:szCs w:val="21"/>
              </w:rPr>
              <w:t xml:space="preserve">categories to </w:t>
            </w:r>
            <w:r w:rsidR="00D50C2D" w:rsidRPr="004954C1">
              <w:rPr>
                <w:rFonts w:ascii="Arial" w:hAnsi="Arial" w:cs="Arial"/>
                <w:sz w:val="21"/>
                <w:szCs w:val="21"/>
              </w:rPr>
              <w:t xml:space="preserve">represent the </w:t>
            </w:r>
            <w:r w:rsidR="003C2BBD" w:rsidRPr="004954C1">
              <w:rPr>
                <w:rFonts w:ascii="Arial" w:hAnsi="Arial" w:cs="Arial"/>
                <w:sz w:val="21"/>
                <w:szCs w:val="21"/>
              </w:rPr>
              <w:t>grocery</w:t>
            </w:r>
            <w:r w:rsidR="00D50C2D" w:rsidRPr="004954C1">
              <w:rPr>
                <w:rFonts w:ascii="Arial" w:hAnsi="Arial" w:cs="Arial"/>
                <w:sz w:val="21"/>
                <w:szCs w:val="21"/>
              </w:rPr>
              <w:t xml:space="preserve"> </w:t>
            </w:r>
            <w:r w:rsidR="00F627D8" w:rsidRPr="004954C1">
              <w:rPr>
                <w:rFonts w:ascii="Arial" w:hAnsi="Arial" w:cs="Arial"/>
                <w:sz w:val="21"/>
                <w:szCs w:val="21"/>
              </w:rPr>
              <w:t xml:space="preserve">item </w:t>
            </w:r>
            <w:r w:rsidR="00D50C2D" w:rsidRPr="004954C1">
              <w:rPr>
                <w:rFonts w:ascii="Arial" w:hAnsi="Arial" w:cs="Arial"/>
                <w:sz w:val="21"/>
                <w:szCs w:val="21"/>
              </w:rPr>
              <w:t>component of the index.</w:t>
            </w:r>
            <w:r w:rsidR="00D50C2D" w:rsidRPr="004954C1">
              <w:rPr>
                <w:rFonts w:ascii="Arial" w:hAnsi="Arial" w:cs="Arial"/>
                <w:iCs/>
                <w:sz w:val="21"/>
                <w:szCs w:val="21"/>
              </w:rPr>
              <w:t xml:space="preserve">  </w:t>
            </w:r>
          </w:p>
          <w:p w14:paraId="2E02173D" w14:textId="77777777" w:rsidR="00D50C2D" w:rsidRPr="005F14BE" w:rsidRDefault="00D50C2D" w:rsidP="000F5E78">
            <w:pPr>
              <w:autoSpaceDE w:val="0"/>
              <w:autoSpaceDN w:val="0"/>
              <w:adjustRightInd w:val="0"/>
              <w:jc w:val="center"/>
              <w:rPr>
                <w:rFonts w:ascii="Arial" w:hAnsi="Arial" w:cs="Arial"/>
                <w:b/>
                <w:sz w:val="16"/>
                <w:szCs w:val="16"/>
                <w:highlight w:val="yellow"/>
              </w:rPr>
            </w:pPr>
          </w:p>
          <w:p w14:paraId="21424F69"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for </w:t>
            </w:r>
            <w:r w:rsidR="00F627D8" w:rsidRPr="005F14BE">
              <w:rPr>
                <w:rFonts w:ascii="Arial" w:hAnsi="Arial" w:cs="Arial"/>
                <w:b/>
                <w:bCs/>
                <w:sz w:val="21"/>
                <w:szCs w:val="21"/>
              </w:rPr>
              <w:t>Grocery Items</w:t>
            </w:r>
            <w:r w:rsidRPr="005F14BE">
              <w:rPr>
                <w:rFonts w:ascii="Arial" w:hAnsi="Arial" w:cs="Arial"/>
                <w:b/>
                <w:bCs/>
                <w:sz w:val="21"/>
                <w:szCs w:val="21"/>
              </w:rPr>
              <w:t xml:space="preserve"> by Index Number</w:t>
            </w:r>
          </w:p>
          <w:p w14:paraId="07ED373B" w14:textId="77777777" w:rsidR="00D50C2D" w:rsidRPr="005F14BE" w:rsidRDefault="00D50C2D" w:rsidP="000F5E78">
            <w:pPr>
              <w:autoSpaceDE w:val="0"/>
              <w:autoSpaceDN w:val="0"/>
              <w:adjustRightInd w:val="0"/>
              <w:jc w:val="center"/>
              <w:rPr>
                <w:rFonts w:ascii="Arial" w:hAnsi="Arial" w:cs="Arial"/>
                <w:b/>
                <w:bCs/>
                <w:sz w:val="21"/>
                <w:szCs w:val="21"/>
              </w:rPr>
            </w:pPr>
            <w:r w:rsidRPr="005F14BE">
              <w:rPr>
                <w:rFonts w:ascii="Arial" w:hAnsi="Arial" w:cs="Arial"/>
                <w:b/>
                <w:bCs/>
                <w:sz w:val="21"/>
                <w:szCs w:val="21"/>
              </w:rPr>
              <w:t>in the Cost of Living Index (COLI)</w:t>
            </w:r>
          </w:p>
          <w:p w14:paraId="2329EC72" w14:textId="59BB6605" w:rsidR="00DF4CDE" w:rsidRPr="00DF4CDE" w:rsidRDefault="00445F08" w:rsidP="00DF4CDE">
            <w:pPr>
              <w:jc w:val="center"/>
              <w:rPr>
                <w:rFonts w:ascii="Arial" w:hAnsi="Arial" w:cs="Arial"/>
                <w:b/>
                <w:bCs/>
                <w:sz w:val="21"/>
                <w:szCs w:val="21"/>
              </w:rPr>
            </w:pPr>
            <w:r>
              <w:rPr>
                <w:rFonts w:ascii="Arial" w:hAnsi="Arial" w:cs="Arial"/>
                <w:b/>
                <w:bCs/>
                <w:sz w:val="21"/>
                <w:szCs w:val="21"/>
              </w:rPr>
              <w:t xml:space="preserve">Year-End Review of Three Quarters </w:t>
            </w:r>
            <w:r w:rsidR="002E5C75">
              <w:rPr>
                <w:rFonts w:ascii="Arial" w:hAnsi="Arial" w:cs="Arial"/>
                <w:b/>
                <w:bCs/>
                <w:sz w:val="21"/>
                <w:szCs w:val="21"/>
              </w:rPr>
              <w:t>in 2023</w:t>
            </w:r>
          </w:p>
          <w:p w14:paraId="48E24877" w14:textId="536CB9D3" w:rsidR="00792435" w:rsidRPr="00B5554B" w:rsidRDefault="00D50C2D" w:rsidP="00B5554B">
            <w:pPr>
              <w:jc w:val="center"/>
              <w:rPr>
                <w:rFonts w:ascii="Arial" w:hAnsi="Arial" w:cs="Arial"/>
                <w:b/>
                <w:bCs/>
                <w:sz w:val="21"/>
                <w:szCs w:val="21"/>
              </w:rPr>
            </w:pPr>
            <w:r w:rsidRPr="005F14BE">
              <w:rPr>
                <w:rFonts w:ascii="Arial" w:hAnsi="Arial" w:cs="Arial"/>
                <w:b/>
                <w:bCs/>
                <w:sz w:val="21"/>
                <w:szCs w:val="21"/>
              </w:rPr>
              <w:t xml:space="preserve">Average for </w:t>
            </w:r>
            <w:r w:rsidR="00BD2F9B" w:rsidRPr="005F14BE">
              <w:rPr>
                <w:rFonts w:ascii="Arial" w:hAnsi="Arial" w:cs="Arial"/>
                <w:b/>
                <w:bCs/>
                <w:sz w:val="21"/>
                <w:szCs w:val="21"/>
              </w:rPr>
              <w:t>2</w:t>
            </w:r>
            <w:r w:rsidR="00860A90">
              <w:rPr>
                <w:rFonts w:ascii="Arial" w:hAnsi="Arial" w:cs="Arial"/>
                <w:b/>
                <w:bCs/>
                <w:sz w:val="21"/>
                <w:szCs w:val="21"/>
              </w:rPr>
              <w:t>76</w:t>
            </w:r>
            <w:r w:rsidR="00601FA1">
              <w:rPr>
                <w:rFonts w:ascii="Arial" w:hAnsi="Arial" w:cs="Arial"/>
                <w:b/>
                <w:bCs/>
                <w:sz w:val="21"/>
                <w:szCs w:val="21"/>
              </w:rPr>
              <w:t xml:space="preserve"> </w:t>
            </w:r>
            <w:r w:rsidRPr="005F14BE">
              <w:rPr>
                <w:rFonts w:ascii="Arial" w:hAnsi="Arial" w:cs="Arial"/>
                <w:b/>
                <w:bCs/>
                <w:sz w:val="21"/>
                <w:szCs w:val="21"/>
              </w:rPr>
              <w:t>Urban Areas = 100</w:t>
            </w:r>
          </w:p>
        </w:tc>
      </w:tr>
      <w:tr w:rsidR="00D50C2D" w:rsidRPr="00F36169" w14:paraId="39A84B0D" w14:textId="77777777" w:rsidTr="76994BAA">
        <w:trPr>
          <w:trHeight w:val="290"/>
          <w:jc w:val="center"/>
        </w:trPr>
        <w:tc>
          <w:tcPr>
            <w:tcW w:w="3777" w:type="dxa"/>
            <w:gridSpan w:val="2"/>
            <w:tcBorders>
              <w:top w:val="single" w:sz="4" w:space="0" w:color="auto"/>
            </w:tcBorders>
            <w:vAlign w:val="center"/>
          </w:tcPr>
          <w:p w14:paraId="063DA57B"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Most Expensive</w:t>
            </w:r>
          </w:p>
        </w:tc>
        <w:tc>
          <w:tcPr>
            <w:tcW w:w="1001" w:type="dxa"/>
            <w:gridSpan w:val="2"/>
            <w:tcBorders>
              <w:top w:val="single" w:sz="4" w:space="0" w:color="auto"/>
              <w:right w:val="single" w:sz="4" w:space="0" w:color="auto"/>
            </w:tcBorders>
            <w:vAlign w:val="center"/>
          </w:tcPr>
          <w:p w14:paraId="06020441"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3664" w:type="dxa"/>
            <w:gridSpan w:val="3"/>
            <w:tcBorders>
              <w:top w:val="single" w:sz="4" w:space="0" w:color="auto"/>
              <w:left w:val="single" w:sz="4" w:space="0" w:color="auto"/>
            </w:tcBorders>
            <w:vAlign w:val="center"/>
          </w:tcPr>
          <w:p w14:paraId="1669D74E" w14:textId="77777777" w:rsidR="00D50C2D" w:rsidRPr="00F36169" w:rsidRDefault="00D50C2D" w:rsidP="000F5E78">
            <w:pPr>
              <w:autoSpaceDE w:val="0"/>
              <w:autoSpaceDN w:val="0"/>
              <w:adjustRightInd w:val="0"/>
              <w:rPr>
                <w:rFonts w:ascii="Arial" w:hAnsi="Arial" w:cs="Arial"/>
                <w:b/>
                <w:bCs/>
                <w:color w:val="000000"/>
                <w:sz w:val="20"/>
                <w:szCs w:val="20"/>
              </w:rPr>
            </w:pPr>
            <w:r w:rsidRPr="00F36169">
              <w:rPr>
                <w:rFonts w:ascii="Arial" w:hAnsi="Arial" w:cs="Arial"/>
                <w:b/>
                <w:bCs/>
                <w:color w:val="000000"/>
                <w:sz w:val="20"/>
                <w:szCs w:val="20"/>
              </w:rPr>
              <w:t>Least Expensive</w:t>
            </w:r>
          </w:p>
        </w:tc>
        <w:tc>
          <w:tcPr>
            <w:tcW w:w="867" w:type="dxa"/>
            <w:gridSpan w:val="2"/>
            <w:tcBorders>
              <w:top w:val="single" w:sz="4" w:space="0" w:color="auto"/>
            </w:tcBorders>
          </w:tcPr>
          <w:p w14:paraId="75758CD2" w14:textId="77777777" w:rsidR="00D50C2D" w:rsidRPr="00F36169" w:rsidRDefault="00D50C2D" w:rsidP="000F5E78">
            <w:pPr>
              <w:autoSpaceDE w:val="0"/>
              <w:autoSpaceDN w:val="0"/>
              <w:adjustRightInd w:val="0"/>
              <w:jc w:val="right"/>
              <w:rPr>
                <w:rFonts w:ascii="Arial" w:hAnsi="Arial" w:cs="Arial"/>
                <w:color w:val="000000"/>
                <w:sz w:val="20"/>
                <w:szCs w:val="20"/>
              </w:rPr>
            </w:pPr>
          </w:p>
        </w:tc>
      </w:tr>
      <w:tr w:rsidR="00D50C2D" w:rsidRPr="00F36169" w14:paraId="7D2FA195" w14:textId="77777777" w:rsidTr="76994BAA">
        <w:trPr>
          <w:trHeight w:val="290"/>
          <w:jc w:val="center"/>
        </w:trPr>
        <w:tc>
          <w:tcPr>
            <w:tcW w:w="1015" w:type="dxa"/>
          </w:tcPr>
          <w:p w14:paraId="085407D2"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762" w:type="dxa"/>
          </w:tcPr>
          <w:p w14:paraId="1ABCAB74"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1001" w:type="dxa"/>
            <w:gridSpan w:val="2"/>
            <w:tcBorders>
              <w:right w:val="single" w:sz="4" w:space="0" w:color="auto"/>
            </w:tcBorders>
            <w:vAlign w:val="center"/>
          </w:tcPr>
          <w:p w14:paraId="530A4267" w14:textId="77777777" w:rsidR="00D50C2D" w:rsidRPr="00F36169" w:rsidRDefault="00D50C2D" w:rsidP="000F5E78">
            <w:pPr>
              <w:autoSpaceDE w:val="0"/>
              <w:autoSpaceDN w:val="0"/>
              <w:adjustRightInd w:val="0"/>
              <w:jc w:val="center"/>
              <w:rPr>
                <w:rFonts w:ascii="Arial" w:hAnsi="Arial" w:cs="Arial"/>
                <w:color w:val="000000"/>
                <w:sz w:val="20"/>
                <w:szCs w:val="20"/>
              </w:rPr>
            </w:pPr>
          </w:p>
        </w:tc>
        <w:tc>
          <w:tcPr>
            <w:tcW w:w="1033" w:type="dxa"/>
            <w:tcBorders>
              <w:left w:val="single" w:sz="4" w:space="0" w:color="auto"/>
            </w:tcBorders>
          </w:tcPr>
          <w:p w14:paraId="4BA24B46" w14:textId="77777777" w:rsidR="00D50C2D" w:rsidRPr="00F36169" w:rsidRDefault="00D50C2D" w:rsidP="000F5E78">
            <w:pPr>
              <w:autoSpaceDE w:val="0"/>
              <w:autoSpaceDN w:val="0"/>
              <w:adjustRightInd w:val="0"/>
              <w:jc w:val="right"/>
              <w:rPr>
                <w:rFonts w:ascii="Arial" w:hAnsi="Arial" w:cs="Arial"/>
                <w:color w:val="000000"/>
                <w:sz w:val="20"/>
                <w:szCs w:val="20"/>
              </w:rPr>
            </w:pPr>
          </w:p>
        </w:tc>
        <w:tc>
          <w:tcPr>
            <w:tcW w:w="2631" w:type="dxa"/>
            <w:gridSpan w:val="2"/>
          </w:tcPr>
          <w:p w14:paraId="2C2E9ED0" w14:textId="7E2A3914" w:rsidR="00D50C2D" w:rsidRPr="00F36169" w:rsidRDefault="00825D63" w:rsidP="00825D63">
            <w:pPr>
              <w:tabs>
                <w:tab w:val="left" w:pos="330"/>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867" w:type="dxa"/>
            <w:gridSpan w:val="2"/>
            <w:vAlign w:val="center"/>
          </w:tcPr>
          <w:p w14:paraId="138F5800" w14:textId="77777777" w:rsidR="00D50C2D" w:rsidRPr="00F36169" w:rsidRDefault="00D50C2D" w:rsidP="000F5E78">
            <w:pPr>
              <w:autoSpaceDE w:val="0"/>
              <w:autoSpaceDN w:val="0"/>
              <w:adjustRightInd w:val="0"/>
              <w:jc w:val="center"/>
              <w:rPr>
                <w:rFonts w:ascii="Arial" w:hAnsi="Arial" w:cs="Arial"/>
                <w:color w:val="000000"/>
                <w:sz w:val="20"/>
                <w:szCs w:val="20"/>
              </w:rPr>
            </w:pPr>
          </w:p>
        </w:tc>
      </w:tr>
      <w:tr w:rsidR="00D50C2D" w:rsidRPr="00F36169" w14:paraId="787B4073" w14:textId="77777777" w:rsidTr="00E6182D">
        <w:trPr>
          <w:trHeight w:val="310"/>
          <w:jc w:val="center"/>
        </w:trPr>
        <w:tc>
          <w:tcPr>
            <w:tcW w:w="1015" w:type="dxa"/>
          </w:tcPr>
          <w:p w14:paraId="2756CA11" w14:textId="77777777" w:rsidR="00D50C2D" w:rsidRPr="00F36169" w:rsidRDefault="00D50C2D" w:rsidP="000F5E78">
            <w:pPr>
              <w:autoSpaceDE w:val="0"/>
              <w:autoSpaceDN w:val="0"/>
              <w:adjustRightInd w:val="0"/>
              <w:jc w:val="center"/>
              <w:rPr>
                <w:rFonts w:ascii="Arial" w:hAnsi="Arial" w:cs="Arial"/>
                <w:b/>
                <w:color w:val="000000"/>
                <w:sz w:val="20"/>
                <w:szCs w:val="20"/>
              </w:rPr>
            </w:pPr>
            <w:r w:rsidRPr="00F36169">
              <w:rPr>
                <w:rFonts w:ascii="Arial" w:hAnsi="Arial" w:cs="Arial"/>
                <w:b/>
                <w:color w:val="000000"/>
                <w:sz w:val="20"/>
                <w:szCs w:val="20"/>
              </w:rPr>
              <w:t>Ranking</w:t>
            </w:r>
          </w:p>
        </w:tc>
        <w:tc>
          <w:tcPr>
            <w:tcW w:w="2762" w:type="dxa"/>
          </w:tcPr>
          <w:p w14:paraId="4792A83F"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1001" w:type="dxa"/>
            <w:gridSpan w:val="2"/>
            <w:tcBorders>
              <w:right w:val="single" w:sz="4" w:space="0" w:color="auto"/>
            </w:tcBorders>
            <w:vAlign w:val="center"/>
          </w:tcPr>
          <w:p w14:paraId="604D49F5" w14:textId="77777777" w:rsidR="00D50C2D" w:rsidRPr="00F36169" w:rsidRDefault="00584701" w:rsidP="0058470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  </w:t>
            </w:r>
            <w:r w:rsidR="00D50C2D" w:rsidRPr="00F36169">
              <w:rPr>
                <w:rFonts w:ascii="Arial" w:hAnsi="Arial" w:cs="Arial"/>
                <w:b/>
                <w:color w:val="000000"/>
                <w:sz w:val="20"/>
                <w:szCs w:val="20"/>
              </w:rPr>
              <w:t>Index</w:t>
            </w:r>
          </w:p>
        </w:tc>
        <w:tc>
          <w:tcPr>
            <w:tcW w:w="1033" w:type="dxa"/>
            <w:tcBorders>
              <w:left w:val="single" w:sz="4" w:space="0" w:color="auto"/>
            </w:tcBorders>
          </w:tcPr>
          <w:p w14:paraId="101B2A60" w14:textId="53710F7C" w:rsidR="00D50C2D" w:rsidRPr="00F36169" w:rsidRDefault="00064AF9" w:rsidP="76994BAA">
            <w:pPr>
              <w:autoSpaceDE w:val="0"/>
              <w:autoSpaceDN w:val="0"/>
              <w:adjustRightInd w:val="0"/>
              <w:jc w:val="center"/>
              <w:rPr>
                <w:rFonts w:ascii="Arial" w:hAnsi="Arial" w:cs="Arial"/>
                <w:b/>
                <w:bCs/>
                <w:color w:val="000000"/>
                <w:sz w:val="20"/>
                <w:szCs w:val="20"/>
              </w:rPr>
            </w:pPr>
            <w:r w:rsidRPr="76994BAA">
              <w:rPr>
                <w:rFonts w:ascii="Arial" w:hAnsi="Arial" w:cs="Arial"/>
                <w:b/>
                <w:bCs/>
                <w:color w:val="000000" w:themeColor="text1"/>
                <w:sz w:val="20"/>
                <w:szCs w:val="20"/>
              </w:rPr>
              <w:t>Ranki</w:t>
            </w:r>
            <w:r w:rsidR="3B8BC1A6" w:rsidRPr="76994BAA">
              <w:rPr>
                <w:rFonts w:ascii="Arial" w:hAnsi="Arial" w:cs="Arial"/>
                <w:b/>
                <w:bCs/>
                <w:color w:val="000000" w:themeColor="text1"/>
                <w:sz w:val="20"/>
                <w:szCs w:val="20"/>
              </w:rPr>
              <w:t>n</w:t>
            </w:r>
            <w:r w:rsidR="00D50C2D" w:rsidRPr="76994BAA">
              <w:rPr>
                <w:rFonts w:ascii="Arial" w:hAnsi="Arial" w:cs="Arial"/>
                <w:b/>
                <w:bCs/>
                <w:color w:val="000000" w:themeColor="text1"/>
                <w:sz w:val="20"/>
                <w:szCs w:val="20"/>
              </w:rPr>
              <w:t>g</w:t>
            </w:r>
          </w:p>
        </w:tc>
        <w:tc>
          <w:tcPr>
            <w:tcW w:w="2631" w:type="dxa"/>
            <w:gridSpan w:val="2"/>
          </w:tcPr>
          <w:p w14:paraId="7D356DB4" w14:textId="77777777" w:rsidR="00D50C2D" w:rsidRPr="00F36169" w:rsidRDefault="00D50C2D" w:rsidP="000F5E78">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Urban Areas</w:t>
            </w:r>
          </w:p>
        </w:tc>
        <w:tc>
          <w:tcPr>
            <w:tcW w:w="867" w:type="dxa"/>
            <w:gridSpan w:val="2"/>
            <w:vAlign w:val="center"/>
          </w:tcPr>
          <w:p w14:paraId="05BE8183" w14:textId="77777777" w:rsidR="00D50C2D" w:rsidRPr="00F36169" w:rsidRDefault="00D50C2D" w:rsidP="00584701">
            <w:pPr>
              <w:autoSpaceDE w:val="0"/>
              <w:autoSpaceDN w:val="0"/>
              <w:adjustRightInd w:val="0"/>
              <w:rPr>
                <w:rFonts w:ascii="Arial" w:hAnsi="Arial" w:cs="Arial"/>
                <w:b/>
                <w:color w:val="000000"/>
                <w:sz w:val="20"/>
                <w:szCs w:val="20"/>
              </w:rPr>
            </w:pPr>
            <w:r w:rsidRPr="00F36169">
              <w:rPr>
                <w:rFonts w:ascii="Arial" w:hAnsi="Arial" w:cs="Arial"/>
                <w:b/>
                <w:color w:val="000000"/>
                <w:sz w:val="20"/>
                <w:szCs w:val="20"/>
              </w:rPr>
              <w:t>Index</w:t>
            </w:r>
          </w:p>
        </w:tc>
      </w:tr>
      <w:tr w:rsidR="00502B48" w:rsidRPr="007C62B3" w14:paraId="4CD328BD" w14:textId="77777777" w:rsidTr="00040209">
        <w:trPr>
          <w:trHeight w:val="290"/>
          <w:jc w:val="center"/>
        </w:trPr>
        <w:tc>
          <w:tcPr>
            <w:tcW w:w="1015" w:type="dxa"/>
            <w:vAlign w:val="center"/>
          </w:tcPr>
          <w:p w14:paraId="2B646F05" w14:textId="77777777" w:rsidR="00502B48" w:rsidRPr="009F3029" w:rsidRDefault="00502B48" w:rsidP="00502B48">
            <w:pPr>
              <w:jc w:val="center"/>
              <w:rPr>
                <w:rFonts w:ascii="Arial" w:hAnsi="Arial" w:cs="Arial"/>
                <w:color w:val="000000"/>
                <w:sz w:val="22"/>
                <w:szCs w:val="22"/>
              </w:rPr>
            </w:pPr>
            <w:r w:rsidRPr="009F3029">
              <w:rPr>
                <w:rFonts w:ascii="Arial" w:hAnsi="Arial" w:cs="Arial"/>
                <w:color w:val="000000"/>
                <w:sz w:val="22"/>
                <w:szCs w:val="22"/>
              </w:rPr>
              <w:t>1</w:t>
            </w:r>
          </w:p>
        </w:tc>
        <w:tc>
          <w:tcPr>
            <w:tcW w:w="2968" w:type="dxa"/>
            <w:gridSpan w:val="2"/>
            <w:tcBorders>
              <w:top w:val="nil"/>
              <w:left w:val="nil"/>
              <w:bottom w:val="nil"/>
              <w:right w:val="nil"/>
            </w:tcBorders>
            <w:shd w:val="clear" w:color="auto" w:fill="auto"/>
          </w:tcPr>
          <w:p w14:paraId="4703D461" w14:textId="7EC4206B" w:rsidR="00502B48" w:rsidRPr="004E16BA" w:rsidRDefault="00502B48" w:rsidP="00502B48">
            <w:pPr>
              <w:rPr>
                <w:rFonts w:ascii="Arial" w:hAnsi="Arial" w:cs="Arial"/>
                <w:sz w:val="22"/>
                <w:szCs w:val="22"/>
              </w:rPr>
            </w:pPr>
            <w:r w:rsidRPr="004E16BA">
              <w:rPr>
                <w:rFonts w:ascii="Arial" w:hAnsi="Arial" w:cs="Arial"/>
                <w:sz w:val="22"/>
                <w:szCs w:val="22"/>
              </w:rPr>
              <w:t>Fairbanks AK</w:t>
            </w:r>
          </w:p>
        </w:tc>
        <w:tc>
          <w:tcPr>
            <w:tcW w:w="795" w:type="dxa"/>
            <w:tcBorders>
              <w:top w:val="nil"/>
              <w:left w:val="nil"/>
              <w:bottom w:val="nil"/>
              <w:right w:val="nil"/>
            </w:tcBorders>
            <w:shd w:val="clear" w:color="auto" w:fill="auto"/>
          </w:tcPr>
          <w:p w14:paraId="78F7649A" w14:textId="7FC59632" w:rsidR="00502B48" w:rsidRPr="004E16BA" w:rsidRDefault="00502B48" w:rsidP="00502B48">
            <w:pPr>
              <w:rPr>
                <w:rFonts w:ascii="Arial" w:hAnsi="Arial" w:cs="Arial"/>
                <w:sz w:val="22"/>
                <w:szCs w:val="22"/>
              </w:rPr>
            </w:pPr>
            <w:r w:rsidRPr="004E16BA">
              <w:rPr>
                <w:rFonts w:ascii="Arial" w:hAnsi="Arial" w:cs="Arial"/>
                <w:sz w:val="22"/>
                <w:szCs w:val="22"/>
              </w:rPr>
              <w:t>124.1</w:t>
            </w:r>
          </w:p>
        </w:tc>
        <w:tc>
          <w:tcPr>
            <w:tcW w:w="1095" w:type="dxa"/>
            <w:gridSpan w:val="2"/>
            <w:tcBorders>
              <w:left w:val="single" w:sz="4" w:space="0" w:color="auto"/>
            </w:tcBorders>
            <w:vAlign w:val="center"/>
          </w:tcPr>
          <w:p w14:paraId="45DB6035" w14:textId="77777777" w:rsidR="00502B48" w:rsidRPr="00D821CA" w:rsidRDefault="00502B48" w:rsidP="00502B48">
            <w:pPr>
              <w:jc w:val="center"/>
              <w:rPr>
                <w:rFonts w:ascii="Arial" w:hAnsi="Arial" w:cs="Arial"/>
                <w:color w:val="000000"/>
                <w:sz w:val="22"/>
                <w:szCs w:val="22"/>
              </w:rPr>
            </w:pPr>
            <w:r w:rsidRPr="00D821CA">
              <w:rPr>
                <w:rFonts w:ascii="Arial" w:hAnsi="Arial" w:cs="Arial"/>
                <w:color w:val="000000"/>
                <w:sz w:val="22"/>
                <w:szCs w:val="22"/>
              </w:rPr>
              <w:t>1</w:t>
            </w:r>
          </w:p>
        </w:tc>
        <w:tc>
          <w:tcPr>
            <w:tcW w:w="2634" w:type="dxa"/>
            <w:gridSpan w:val="2"/>
            <w:tcBorders>
              <w:top w:val="nil"/>
              <w:left w:val="nil"/>
              <w:bottom w:val="nil"/>
              <w:right w:val="nil"/>
            </w:tcBorders>
            <w:shd w:val="clear" w:color="auto" w:fill="auto"/>
          </w:tcPr>
          <w:p w14:paraId="0C069943" w14:textId="35CF979B" w:rsidR="00502B48" w:rsidRPr="00502B48" w:rsidRDefault="00502B48" w:rsidP="00502B48">
            <w:pPr>
              <w:rPr>
                <w:rFonts w:ascii="Arial" w:hAnsi="Arial" w:cs="Arial"/>
                <w:sz w:val="22"/>
                <w:szCs w:val="22"/>
              </w:rPr>
            </w:pPr>
            <w:r w:rsidRPr="00502B48">
              <w:rPr>
                <w:rFonts w:ascii="Arial" w:hAnsi="Arial" w:cs="Arial"/>
                <w:sz w:val="22"/>
                <w:szCs w:val="22"/>
              </w:rPr>
              <w:t>Thibodaux-Lafourche Parish LA</w:t>
            </w:r>
          </w:p>
        </w:tc>
        <w:tc>
          <w:tcPr>
            <w:tcW w:w="802" w:type="dxa"/>
            <w:tcBorders>
              <w:top w:val="nil"/>
              <w:left w:val="nil"/>
              <w:bottom w:val="nil"/>
              <w:right w:val="nil"/>
            </w:tcBorders>
            <w:shd w:val="clear" w:color="auto" w:fill="auto"/>
          </w:tcPr>
          <w:p w14:paraId="7432682B" w14:textId="28A8C2E7" w:rsidR="00502B48" w:rsidRPr="00502B48" w:rsidRDefault="00502B48" w:rsidP="00502B48">
            <w:pPr>
              <w:rPr>
                <w:rFonts w:ascii="Arial" w:hAnsi="Arial" w:cs="Arial"/>
                <w:sz w:val="22"/>
                <w:szCs w:val="22"/>
              </w:rPr>
            </w:pPr>
            <w:r w:rsidRPr="00502B48">
              <w:rPr>
                <w:rFonts w:ascii="Arial" w:hAnsi="Arial" w:cs="Arial"/>
                <w:sz w:val="22"/>
                <w:szCs w:val="22"/>
              </w:rPr>
              <w:t>90.5</w:t>
            </w:r>
          </w:p>
        </w:tc>
      </w:tr>
      <w:tr w:rsidR="00502B48" w:rsidRPr="007C62B3" w14:paraId="2BBAC667" w14:textId="77777777" w:rsidTr="00040209">
        <w:trPr>
          <w:trHeight w:val="252"/>
          <w:jc w:val="center"/>
        </w:trPr>
        <w:tc>
          <w:tcPr>
            <w:tcW w:w="1015" w:type="dxa"/>
            <w:vAlign w:val="center"/>
          </w:tcPr>
          <w:p w14:paraId="5BCEC2E2" w14:textId="77777777" w:rsidR="00502B48" w:rsidRPr="009F3029" w:rsidRDefault="00502B48" w:rsidP="00502B48">
            <w:pPr>
              <w:jc w:val="center"/>
              <w:rPr>
                <w:rFonts w:ascii="Arial" w:hAnsi="Arial" w:cs="Arial"/>
                <w:color w:val="000000"/>
                <w:sz w:val="22"/>
                <w:szCs w:val="22"/>
              </w:rPr>
            </w:pPr>
            <w:r w:rsidRPr="009F3029">
              <w:rPr>
                <w:rFonts w:ascii="Arial" w:hAnsi="Arial" w:cs="Arial"/>
                <w:color w:val="000000"/>
                <w:sz w:val="22"/>
                <w:szCs w:val="22"/>
              </w:rPr>
              <w:t>2</w:t>
            </w:r>
          </w:p>
        </w:tc>
        <w:tc>
          <w:tcPr>
            <w:tcW w:w="2968" w:type="dxa"/>
            <w:gridSpan w:val="2"/>
            <w:tcBorders>
              <w:top w:val="nil"/>
              <w:left w:val="nil"/>
              <w:bottom w:val="nil"/>
              <w:right w:val="nil"/>
            </w:tcBorders>
            <w:shd w:val="clear" w:color="auto" w:fill="auto"/>
          </w:tcPr>
          <w:p w14:paraId="26174B58" w14:textId="7430B672" w:rsidR="00502B48" w:rsidRPr="004E16BA" w:rsidRDefault="00502B48" w:rsidP="00502B48">
            <w:pPr>
              <w:rPr>
                <w:rFonts w:ascii="Arial" w:hAnsi="Arial" w:cs="Arial"/>
                <w:sz w:val="22"/>
                <w:szCs w:val="22"/>
              </w:rPr>
            </w:pPr>
            <w:r w:rsidRPr="004E16BA">
              <w:rPr>
                <w:rFonts w:ascii="Arial" w:hAnsi="Arial" w:cs="Arial"/>
                <w:sz w:val="22"/>
                <w:szCs w:val="22"/>
              </w:rPr>
              <w:t>Anchorage AK</w:t>
            </w:r>
          </w:p>
        </w:tc>
        <w:tc>
          <w:tcPr>
            <w:tcW w:w="795" w:type="dxa"/>
            <w:tcBorders>
              <w:top w:val="nil"/>
              <w:left w:val="nil"/>
              <w:bottom w:val="nil"/>
              <w:right w:val="nil"/>
            </w:tcBorders>
            <w:shd w:val="clear" w:color="auto" w:fill="auto"/>
          </w:tcPr>
          <w:p w14:paraId="66B23061" w14:textId="17247F47" w:rsidR="00502B48" w:rsidRPr="004E16BA" w:rsidRDefault="00502B48" w:rsidP="00502B48">
            <w:pPr>
              <w:rPr>
                <w:rFonts w:ascii="Arial" w:hAnsi="Arial" w:cs="Arial"/>
                <w:sz w:val="22"/>
                <w:szCs w:val="22"/>
              </w:rPr>
            </w:pPr>
            <w:r w:rsidRPr="004E16BA">
              <w:rPr>
                <w:rFonts w:ascii="Arial" w:hAnsi="Arial" w:cs="Arial"/>
                <w:sz w:val="22"/>
                <w:szCs w:val="22"/>
              </w:rPr>
              <w:t>123.8</w:t>
            </w:r>
          </w:p>
        </w:tc>
        <w:tc>
          <w:tcPr>
            <w:tcW w:w="1095" w:type="dxa"/>
            <w:gridSpan w:val="2"/>
            <w:tcBorders>
              <w:left w:val="single" w:sz="4" w:space="0" w:color="auto"/>
            </w:tcBorders>
            <w:vAlign w:val="center"/>
          </w:tcPr>
          <w:p w14:paraId="5CF6E908" w14:textId="77777777" w:rsidR="00502B48" w:rsidRPr="00D821CA" w:rsidRDefault="00502B48" w:rsidP="00502B48">
            <w:pPr>
              <w:jc w:val="center"/>
              <w:rPr>
                <w:rFonts w:ascii="Arial" w:hAnsi="Arial" w:cs="Arial"/>
                <w:color w:val="000000"/>
                <w:sz w:val="22"/>
                <w:szCs w:val="22"/>
              </w:rPr>
            </w:pPr>
            <w:r w:rsidRPr="00D821CA">
              <w:rPr>
                <w:rFonts w:ascii="Arial" w:hAnsi="Arial" w:cs="Arial"/>
                <w:color w:val="000000"/>
                <w:sz w:val="22"/>
                <w:szCs w:val="22"/>
              </w:rPr>
              <w:t>2</w:t>
            </w:r>
          </w:p>
        </w:tc>
        <w:tc>
          <w:tcPr>
            <w:tcW w:w="2634" w:type="dxa"/>
            <w:gridSpan w:val="2"/>
            <w:tcBorders>
              <w:top w:val="nil"/>
              <w:left w:val="nil"/>
              <w:bottom w:val="nil"/>
              <w:right w:val="nil"/>
            </w:tcBorders>
            <w:shd w:val="clear" w:color="auto" w:fill="auto"/>
          </w:tcPr>
          <w:p w14:paraId="0756B20C" w14:textId="7A3D1D67" w:rsidR="00502B48" w:rsidRPr="00502B48" w:rsidRDefault="00502B48" w:rsidP="00502B48">
            <w:pPr>
              <w:rPr>
                <w:rFonts w:ascii="Arial" w:hAnsi="Arial" w:cs="Arial"/>
                <w:sz w:val="22"/>
                <w:szCs w:val="22"/>
              </w:rPr>
            </w:pPr>
            <w:r w:rsidRPr="00502B48">
              <w:rPr>
                <w:rFonts w:ascii="Arial" w:hAnsi="Arial" w:cs="Arial"/>
                <w:sz w:val="22"/>
                <w:szCs w:val="22"/>
              </w:rPr>
              <w:t>Temple TX</w:t>
            </w:r>
          </w:p>
        </w:tc>
        <w:tc>
          <w:tcPr>
            <w:tcW w:w="802" w:type="dxa"/>
            <w:tcBorders>
              <w:top w:val="nil"/>
              <w:left w:val="nil"/>
              <w:bottom w:val="nil"/>
              <w:right w:val="nil"/>
            </w:tcBorders>
            <w:shd w:val="clear" w:color="auto" w:fill="auto"/>
          </w:tcPr>
          <w:p w14:paraId="23F93D8B" w14:textId="47CC9CA9" w:rsidR="00502B48" w:rsidRPr="00502B48" w:rsidRDefault="00502B48" w:rsidP="00502B48">
            <w:pPr>
              <w:rPr>
                <w:rFonts w:ascii="Arial" w:hAnsi="Arial" w:cs="Arial"/>
                <w:sz w:val="22"/>
                <w:szCs w:val="22"/>
              </w:rPr>
            </w:pPr>
            <w:r w:rsidRPr="00502B48">
              <w:rPr>
                <w:rFonts w:ascii="Arial" w:hAnsi="Arial" w:cs="Arial"/>
                <w:sz w:val="22"/>
                <w:szCs w:val="22"/>
              </w:rPr>
              <w:t>91.3</w:t>
            </w:r>
          </w:p>
        </w:tc>
      </w:tr>
      <w:tr w:rsidR="00502B48" w:rsidRPr="007C62B3" w14:paraId="45E0B8D7" w14:textId="77777777" w:rsidTr="00040209">
        <w:trPr>
          <w:trHeight w:val="290"/>
          <w:jc w:val="center"/>
        </w:trPr>
        <w:tc>
          <w:tcPr>
            <w:tcW w:w="1015" w:type="dxa"/>
            <w:vAlign w:val="center"/>
          </w:tcPr>
          <w:p w14:paraId="375A2D24" w14:textId="77777777" w:rsidR="00502B48" w:rsidRPr="009F3029" w:rsidRDefault="00502B48" w:rsidP="00502B48">
            <w:pPr>
              <w:jc w:val="center"/>
              <w:rPr>
                <w:rFonts w:ascii="Arial" w:hAnsi="Arial" w:cs="Arial"/>
                <w:color w:val="000000"/>
                <w:sz w:val="22"/>
                <w:szCs w:val="22"/>
              </w:rPr>
            </w:pPr>
            <w:r w:rsidRPr="009F3029">
              <w:rPr>
                <w:rFonts w:ascii="Arial" w:hAnsi="Arial" w:cs="Arial"/>
                <w:color w:val="000000"/>
                <w:sz w:val="22"/>
                <w:szCs w:val="22"/>
              </w:rPr>
              <w:t>3</w:t>
            </w:r>
          </w:p>
        </w:tc>
        <w:tc>
          <w:tcPr>
            <w:tcW w:w="2968" w:type="dxa"/>
            <w:gridSpan w:val="2"/>
            <w:tcBorders>
              <w:top w:val="nil"/>
              <w:left w:val="nil"/>
              <w:bottom w:val="nil"/>
              <w:right w:val="nil"/>
            </w:tcBorders>
            <w:shd w:val="clear" w:color="auto" w:fill="auto"/>
          </w:tcPr>
          <w:p w14:paraId="1982A21C" w14:textId="7AAB437B" w:rsidR="00502B48" w:rsidRPr="004E16BA" w:rsidRDefault="00502B48" w:rsidP="00502B48">
            <w:pPr>
              <w:rPr>
                <w:rFonts w:ascii="Arial" w:hAnsi="Arial" w:cs="Arial"/>
                <w:sz w:val="22"/>
                <w:szCs w:val="22"/>
              </w:rPr>
            </w:pPr>
            <w:r w:rsidRPr="004E16BA">
              <w:rPr>
                <w:rFonts w:ascii="Arial" w:hAnsi="Arial" w:cs="Arial"/>
                <w:sz w:val="22"/>
                <w:szCs w:val="22"/>
              </w:rPr>
              <w:t>Juneau AK</w:t>
            </w:r>
          </w:p>
        </w:tc>
        <w:tc>
          <w:tcPr>
            <w:tcW w:w="795" w:type="dxa"/>
            <w:tcBorders>
              <w:top w:val="nil"/>
              <w:left w:val="nil"/>
              <w:bottom w:val="nil"/>
              <w:right w:val="nil"/>
            </w:tcBorders>
            <w:shd w:val="clear" w:color="auto" w:fill="auto"/>
          </w:tcPr>
          <w:p w14:paraId="4391D274" w14:textId="4B7B717C" w:rsidR="00502B48" w:rsidRPr="004E16BA" w:rsidRDefault="00502B48" w:rsidP="00502B48">
            <w:pPr>
              <w:rPr>
                <w:rFonts w:ascii="Arial" w:hAnsi="Arial" w:cs="Arial"/>
                <w:sz w:val="22"/>
                <w:szCs w:val="22"/>
              </w:rPr>
            </w:pPr>
            <w:r w:rsidRPr="004E16BA">
              <w:rPr>
                <w:rFonts w:ascii="Arial" w:hAnsi="Arial" w:cs="Arial"/>
                <w:sz w:val="22"/>
                <w:szCs w:val="22"/>
              </w:rPr>
              <w:t>122.7</w:t>
            </w:r>
          </w:p>
        </w:tc>
        <w:tc>
          <w:tcPr>
            <w:tcW w:w="1095" w:type="dxa"/>
            <w:gridSpan w:val="2"/>
            <w:tcBorders>
              <w:left w:val="single" w:sz="4" w:space="0" w:color="auto"/>
            </w:tcBorders>
            <w:vAlign w:val="center"/>
          </w:tcPr>
          <w:p w14:paraId="4C439484" w14:textId="77777777" w:rsidR="00502B48" w:rsidRPr="00D821CA" w:rsidRDefault="00502B48" w:rsidP="00502B48">
            <w:pPr>
              <w:jc w:val="center"/>
              <w:rPr>
                <w:rFonts w:ascii="Arial" w:hAnsi="Arial" w:cs="Arial"/>
                <w:color w:val="000000"/>
                <w:sz w:val="22"/>
                <w:szCs w:val="22"/>
              </w:rPr>
            </w:pPr>
            <w:r w:rsidRPr="00D821CA">
              <w:rPr>
                <w:rFonts w:ascii="Arial" w:hAnsi="Arial" w:cs="Arial"/>
                <w:color w:val="000000"/>
                <w:sz w:val="22"/>
                <w:szCs w:val="22"/>
              </w:rPr>
              <w:t>3</w:t>
            </w:r>
          </w:p>
        </w:tc>
        <w:tc>
          <w:tcPr>
            <w:tcW w:w="2634" w:type="dxa"/>
            <w:gridSpan w:val="2"/>
            <w:tcBorders>
              <w:top w:val="nil"/>
              <w:left w:val="nil"/>
              <w:bottom w:val="nil"/>
              <w:right w:val="nil"/>
            </w:tcBorders>
            <w:shd w:val="clear" w:color="auto" w:fill="auto"/>
          </w:tcPr>
          <w:p w14:paraId="57A566C4" w14:textId="64752A41" w:rsidR="00502B48" w:rsidRPr="00502B48" w:rsidRDefault="00502B48" w:rsidP="00502B48">
            <w:pPr>
              <w:rPr>
                <w:rFonts w:ascii="Arial" w:hAnsi="Arial" w:cs="Arial"/>
                <w:sz w:val="22"/>
                <w:szCs w:val="22"/>
              </w:rPr>
            </w:pPr>
            <w:r w:rsidRPr="00502B48">
              <w:rPr>
                <w:rFonts w:ascii="Arial" w:hAnsi="Arial" w:cs="Arial"/>
                <w:sz w:val="22"/>
                <w:szCs w:val="22"/>
              </w:rPr>
              <w:t>Cedar Park TX</w:t>
            </w:r>
          </w:p>
        </w:tc>
        <w:tc>
          <w:tcPr>
            <w:tcW w:w="802" w:type="dxa"/>
            <w:tcBorders>
              <w:top w:val="nil"/>
              <w:left w:val="nil"/>
              <w:bottom w:val="nil"/>
              <w:right w:val="nil"/>
            </w:tcBorders>
            <w:shd w:val="clear" w:color="auto" w:fill="auto"/>
          </w:tcPr>
          <w:p w14:paraId="7F644CBC" w14:textId="72DF8236" w:rsidR="00502B48" w:rsidRPr="00502B48" w:rsidRDefault="00502B48" w:rsidP="00502B48">
            <w:pPr>
              <w:rPr>
                <w:rFonts w:ascii="Arial" w:hAnsi="Arial" w:cs="Arial"/>
                <w:sz w:val="22"/>
                <w:szCs w:val="22"/>
              </w:rPr>
            </w:pPr>
            <w:r w:rsidRPr="00502B48">
              <w:rPr>
                <w:rFonts w:ascii="Arial" w:hAnsi="Arial" w:cs="Arial"/>
                <w:sz w:val="22"/>
                <w:szCs w:val="22"/>
              </w:rPr>
              <w:t>91.3</w:t>
            </w:r>
          </w:p>
        </w:tc>
      </w:tr>
      <w:tr w:rsidR="00502B48" w:rsidRPr="007C62B3" w14:paraId="619D7349" w14:textId="77777777" w:rsidTr="00040209">
        <w:trPr>
          <w:trHeight w:val="290"/>
          <w:jc w:val="center"/>
        </w:trPr>
        <w:tc>
          <w:tcPr>
            <w:tcW w:w="1015" w:type="dxa"/>
            <w:vAlign w:val="center"/>
          </w:tcPr>
          <w:p w14:paraId="591FE359" w14:textId="77777777" w:rsidR="00502B48" w:rsidRPr="009F3029" w:rsidRDefault="00502B48" w:rsidP="00502B48">
            <w:pPr>
              <w:jc w:val="center"/>
              <w:rPr>
                <w:rFonts w:ascii="Arial" w:hAnsi="Arial" w:cs="Arial"/>
                <w:sz w:val="22"/>
                <w:szCs w:val="22"/>
              </w:rPr>
            </w:pPr>
            <w:r w:rsidRPr="009F3029">
              <w:rPr>
                <w:rFonts w:ascii="Arial" w:hAnsi="Arial" w:cs="Arial"/>
                <w:sz w:val="22"/>
                <w:szCs w:val="22"/>
              </w:rPr>
              <w:t>4</w:t>
            </w:r>
          </w:p>
        </w:tc>
        <w:tc>
          <w:tcPr>
            <w:tcW w:w="2968" w:type="dxa"/>
            <w:gridSpan w:val="2"/>
            <w:tcBorders>
              <w:top w:val="nil"/>
              <w:left w:val="nil"/>
              <w:bottom w:val="nil"/>
              <w:right w:val="nil"/>
            </w:tcBorders>
            <w:shd w:val="clear" w:color="auto" w:fill="auto"/>
          </w:tcPr>
          <w:p w14:paraId="3761C5F8" w14:textId="2E4FB2D0" w:rsidR="00502B48" w:rsidRPr="004E16BA" w:rsidRDefault="00502B48" w:rsidP="00502B48">
            <w:pPr>
              <w:rPr>
                <w:rFonts w:ascii="Arial" w:hAnsi="Arial" w:cs="Arial"/>
                <w:sz w:val="22"/>
                <w:szCs w:val="22"/>
              </w:rPr>
            </w:pPr>
            <w:r w:rsidRPr="004E16BA">
              <w:rPr>
                <w:rFonts w:ascii="Arial" w:hAnsi="Arial" w:cs="Arial"/>
                <w:sz w:val="22"/>
                <w:szCs w:val="22"/>
              </w:rPr>
              <w:t>San Francisco CA</w:t>
            </w:r>
          </w:p>
        </w:tc>
        <w:tc>
          <w:tcPr>
            <w:tcW w:w="795" w:type="dxa"/>
            <w:tcBorders>
              <w:top w:val="nil"/>
              <w:left w:val="nil"/>
              <w:bottom w:val="nil"/>
              <w:right w:val="nil"/>
            </w:tcBorders>
            <w:shd w:val="clear" w:color="auto" w:fill="auto"/>
          </w:tcPr>
          <w:p w14:paraId="3CF47F81" w14:textId="53AE5780" w:rsidR="00502B48" w:rsidRPr="004E16BA" w:rsidRDefault="00502B48" w:rsidP="00502B48">
            <w:pPr>
              <w:rPr>
                <w:rFonts w:ascii="Arial" w:hAnsi="Arial" w:cs="Arial"/>
                <w:sz w:val="22"/>
                <w:szCs w:val="22"/>
              </w:rPr>
            </w:pPr>
            <w:r w:rsidRPr="004E16BA">
              <w:rPr>
                <w:rFonts w:ascii="Arial" w:hAnsi="Arial" w:cs="Arial"/>
                <w:sz w:val="22"/>
                <w:szCs w:val="22"/>
              </w:rPr>
              <w:t>122.5</w:t>
            </w:r>
          </w:p>
        </w:tc>
        <w:tc>
          <w:tcPr>
            <w:tcW w:w="1095" w:type="dxa"/>
            <w:gridSpan w:val="2"/>
            <w:tcBorders>
              <w:left w:val="single" w:sz="4" w:space="0" w:color="auto"/>
            </w:tcBorders>
            <w:vAlign w:val="center"/>
          </w:tcPr>
          <w:p w14:paraId="0ACC4B7D" w14:textId="77777777" w:rsidR="00502B48" w:rsidRPr="00D821CA" w:rsidRDefault="00502B48" w:rsidP="00502B48">
            <w:pPr>
              <w:jc w:val="center"/>
              <w:rPr>
                <w:rFonts w:ascii="Arial" w:hAnsi="Arial" w:cs="Arial"/>
                <w:sz w:val="22"/>
                <w:szCs w:val="22"/>
              </w:rPr>
            </w:pPr>
            <w:r w:rsidRPr="00D821CA">
              <w:rPr>
                <w:rFonts w:ascii="Arial" w:hAnsi="Arial" w:cs="Arial"/>
                <w:sz w:val="22"/>
                <w:szCs w:val="22"/>
              </w:rPr>
              <w:t>4</w:t>
            </w:r>
          </w:p>
        </w:tc>
        <w:tc>
          <w:tcPr>
            <w:tcW w:w="2634" w:type="dxa"/>
            <w:gridSpan w:val="2"/>
            <w:tcBorders>
              <w:top w:val="nil"/>
              <w:left w:val="nil"/>
              <w:bottom w:val="nil"/>
              <w:right w:val="nil"/>
            </w:tcBorders>
            <w:shd w:val="clear" w:color="auto" w:fill="auto"/>
          </w:tcPr>
          <w:p w14:paraId="5A78A2CC" w14:textId="04AE5271" w:rsidR="00502B48" w:rsidRPr="00502B48" w:rsidRDefault="00502B48" w:rsidP="00502B48">
            <w:pPr>
              <w:rPr>
                <w:rFonts w:ascii="Arial" w:hAnsi="Arial" w:cs="Arial"/>
                <w:sz w:val="22"/>
                <w:szCs w:val="22"/>
              </w:rPr>
            </w:pPr>
            <w:r w:rsidRPr="00502B48">
              <w:rPr>
                <w:rFonts w:ascii="Arial" w:hAnsi="Arial" w:cs="Arial"/>
                <w:sz w:val="22"/>
                <w:szCs w:val="22"/>
              </w:rPr>
              <w:t>McAllen TX</w:t>
            </w:r>
          </w:p>
        </w:tc>
        <w:tc>
          <w:tcPr>
            <w:tcW w:w="802" w:type="dxa"/>
            <w:tcBorders>
              <w:top w:val="nil"/>
              <w:left w:val="nil"/>
              <w:bottom w:val="nil"/>
              <w:right w:val="nil"/>
            </w:tcBorders>
            <w:shd w:val="clear" w:color="auto" w:fill="auto"/>
          </w:tcPr>
          <w:p w14:paraId="610A4246" w14:textId="43F64B36" w:rsidR="00502B48" w:rsidRPr="00502B48" w:rsidRDefault="00502B48" w:rsidP="00502B48">
            <w:pPr>
              <w:rPr>
                <w:rFonts w:ascii="Arial" w:hAnsi="Arial" w:cs="Arial"/>
                <w:sz w:val="22"/>
                <w:szCs w:val="22"/>
              </w:rPr>
            </w:pPr>
            <w:r w:rsidRPr="00502B48">
              <w:rPr>
                <w:rFonts w:ascii="Arial" w:hAnsi="Arial" w:cs="Arial"/>
                <w:sz w:val="22"/>
                <w:szCs w:val="22"/>
              </w:rPr>
              <w:t>91.4</w:t>
            </w:r>
          </w:p>
        </w:tc>
      </w:tr>
      <w:tr w:rsidR="00502B48" w:rsidRPr="00601FA1" w14:paraId="3BD9A586" w14:textId="77777777" w:rsidTr="00040209">
        <w:trPr>
          <w:trHeight w:val="80"/>
          <w:jc w:val="center"/>
        </w:trPr>
        <w:tc>
          <w:tcPr>
            <w:tcW w:w="1015" w:type="dxa"/>
            <w:vAlign w:val="center"/>
          </w:tcPr>
          <w:p w14:paraId="705C9B06" w14:textId="77777777" w:rsidR="00502B48" w:rsidRPr="009F3029" w:rsidRDefault="00502B48" w:rsidP="00502B48">
            <w:pPr>
              <w:jc w:val="center"/>
              <w:rPr>
                <w:rFonts w:ascii="Arial" w:hAnsi="Arial" w:cs="Arial"/>
                <w:sz w:val="22"/>
                <w:szCs w:val="22"/>
              </w:rPr>
            </w:pPr>
            <w:r w:rsidRPr="009F3029">
              <w:rPr>
                <w:rFonts w:ascii="Arial" w:hAnsi="Arial" w:cs="Arial"/>
                <w:sz w:val="22"/>
                <w:szCs w:val="22"/>
              </w:rPr>
              <w:t>5</w:t>
            </w:r>
          </w:p>
        </w:tc>
        <w:tc>
          <w:tcPr>
            <w:tcW w:w="2968" w:type="dxa"/>
            <w:gridSpan w:val="2"/>
            <w:tcBorders>
              <w:top w:val="nil"/>
              <w:left w:val="nil"/>
              <w:bottom w:val="nil"/>
              <w:right w:val="nil"/>
            </w:tcBorders>
            <w:shd w:val="clear" w:color="auto" w:fill="auto"/>
          </w:tcPr>
          <w:p w14:paraId="2BB4176A" w14:textId="03EEB2EE" w:rsidR="00502B48" w:rsidRPr="004E16BA" w:rsidRDefault="00502B48" w:rsidP="00502B48">
            <w:pPr>
              <w:rPr>
                <w:rFonts w:ascii="Arial" w:hAnsi="Arial" w:cs="Arial"/>
                <w:sz w:val="22"/>
                <w:szCs w:val="22"/>
              </w:rPr>
            </w:pPr>
            <w:r w:rsidRPr="004E16BA">
              <w:rPr>
                <w:rFonts w:ascii="Arial" w:hAnsi="Arial" w:cs="Arial"/>
                <w:sz w:val="22"/>
                <w:szCs w:val="22"/>
              </w:rPr>
              <w:t>Oakland CA</w:t>
            </w:r>
          </w:p>
        </w:tc>
        <w:tc>
          <w:tcPr>
            <w:tcW w:w="795" w:type="dxa"/>
            <w:tcBorders>
              <w:top w:val="nil"/>
              <w:left w:val="nil"/>
              <w:bottom w:val="nil"/>
              <w:right w:val="nil"/>
            </w:tcBorders>
            <w:shd w:val="clear" w:color="auto" w:fill="auto"/>
          </w:tcPr>
          <w:p w14:paraId="36F2F614" w14:textId="0B6E823F" w:rsidR="00502B48" w:rsidRPr="004E16BA" w:rsidRDefault="00502B48" w:rsidP="00502B48">
            <w:pPr>
              <w:rPr>
                <w:rFonts w:ascii="Arial" w:hAnsi="Arial" w:cs="Arial"/>
                <w:sz w:val="22"/>
                <w:szCs w:val="22"/>
              </w:rPr>
            </w:pPr>
            <w:r w:rsidRPr="004E16BA">
              <w:rPr>
                <w:rFonts w:ascii="Arial" w:hAnsi="Arial" w:cs="Arial"/>
                <w:sz w:val="22"/>
                <w:szCs w:val="22"/>
              </w:rPr>
              <w:t>117.2</w:t>
            </w:r>
          </w:p>
        </w:tc>
        <w:tc>
          <w:tcPr>
            <w:tcW w:w="1095" w:type="dxa"/>
            <w:gridSpan w:val="2"/>
            <w:tcBorders>
              <w:left w:val="single" w:sz="4" w:space="0" w:color="auto"/>
            </w:tcBorders>
            <w:vAlign w:val="center"/>
          </w:tcPr>
          <w:p w14:paraId="21D73C6D" w14:textId="77777777" w:rsidR="00502B48" w:rsidRPr="00D821CA" w:rsidRDefault="00502B48" w:rsidP="00502B48">
            <w:pPr>
              <w:jc w:val="center"/>
              <w:rPr>
                <w:rFonts w:ascii="Arial" w:hAnsi="Arial" w:cs="Arial"/>
                <w:sz w:val="22"/>
                <w:szCs w:val="22"/>
              </w:rPr>
            </w:pPr>
            <w:r w:rsidRPr="00D821CA">
              <w:rPr>
                <w:rFonts w:ascii="Arial" w:hAnsi="Arial" w:cs="Arial"/>
                <w:sz w:val="22"/>
                <w:szCs w:val="22"/>
              </w:rPr>
              <w:t>5</w:t>
            </w:r>
          </w:p>
        </w:tc>
        <w:tc>
          <w:tcPr>
            <w:tcW w:w="2634" w:type="dxa"/>
            <w:gridSpan w:val="2"/>
            <w:tcBorders>
              <w:top w:val="nil"/>
              <w:left w:val="nil"/>
              <w:bottom w:val="nil"/>
              <w:right w:val="nil"/>
            </w:tcBorders>
            <w:shd w:val="clear" w:color="auto" w:fill="auto"/>
          </w:tcPr>
          <w:p w14:paraId="5935EF4C" w14:textId="6AAF2DD0" w:rsidR="00502B48" w:rsidRPr="00502B48" w:rsidRDefault="00502B48" w:rsidP="00502B48">
            <w:pPr>
              <w:rPr>
                <w:rFonts w:ascii="Arial" w:hAnsi="Arial" w:cs="Arial"/>
                <w:sz w:val="22"/>
                <w:szCs w:val="22"/>
              </w:rPr>
            </w:pPr>
            <w:r w:rsidRPr="00502B48">
              <w:rPr>
                <w:rFonts w:ascii="Arial" w:hAnsi="Arial" w:cs="Arial"/>
                <w:sz w:val="22"/>
                <w:szCs w:val="22"/>
              </w:rPr>
              <w:t>Harlingen TX</w:t>
            </w:r>
          </w:p>
        </w:tc>
        <w:tc>
          <w:tcPr>
            <w:tcW w:w="802" w:type="dxa"/>
            <w:tcBorders>
              <w:top w:val="nil"/>
              <w:left w:val="nil"/>
              <w:bottom w:val="nil"/>
              <w:right w:val="nil"/>
            </w:tcBorders>
            <w:shd w:val="clear" w:color="auto" w:fill="auto"/>
          </w:tcPr>
          <w:p w14:paraId="052A1E50" w14:textId="33D56EF6" w:rsidR="00502B48" w:rsidRPr="00502B48" w:rsidRDefault="00502B48" w:rsidP="00502B48">
            <w:pPr>
              <w:rPr>
                <w:rFonts w:ascii="Arial" w:hAnsi="Arial" w:cs="Arial"/>
                <w:sz w:val="22"/>
                <w:szCs w:val="22"/>
              </w:rPr>
            </w:pPr>
            <w:r w:rsidRPr="00502B48">
              <w:rPr>
                <w:rFonts w:ascii="Arial" w:hAnsi="Arial" w:cs="Arial"/>
                <w:sz w:val="22"/>
                <w:szCs w:val="22"/>
              </w:rPr>
              <w:t>91.8</w:t>
            </w:r>
          </w:p>
        </w:tc>
      </w:tr>
    </w:tbl>
    <w:p w14:paraId="27AFE3F1" w14:textId="77777777" w:rsidR="00F56F1C" w:rsidRPr="005F14BE" w:rsidRDefault="00F56F1C" w:rsidP="00B50102">
      <w:pPr>
        <w:pStyle w:val="BodyText2"/>
        <w:jc w:val="left"/>
        <w:rPr>
          <w:rFonts w:ascii="Arial" w:hAnsi="Arial" w:cs="Arial"/>
          <w:kern w:val="0"/>
          <w:sz w:val="14"/>
          <w:szCs w:val="22"/>
        </w:rPr>
      </w:pPr>
    </w:p>
    <w:p w14:paraId="21C85B5C" w14:textId="77777777" w:rsidR="00792435" w:rsidRPr="005F14BE" w:rsidRDefault="00792435" w:rsidP="00B50102">
      <w:pPr>
        <w:pStyle w:val="BodyText2"/>
        <w:jc w:val="left"/>
        <w:rPr>
          <w:rFonts w:ascii="Arial" w:hAnsi="Arial" w:cs="Arial"/>
          <w:b/>
          <w:bCs/>
          <w:sz w:val="10"/>
          <w:szCs w:val="28"/>
        </w:rPr>
      </w:pPr>
    </w:p>
    <w:p w14:paraId="507652F4" w14:textId="28F03FA5" w:rsidR="00632276" w:rsidRPr="005F14BE" w:rsidRDefault="00632276" w:rsidP="00632276">
      <w:pPr>
        <w:pStyle w:val="BodyText2"/>
        <w:jc w:val="left"/>
        <w:rPr>
          <w:rFonts w:ascii="Arial" w:hAnsi="Arial" w:cs="Arial"/>
          <w:b/>
          <w:bCs/>
          <w:sz w:val="24"/>
          <w:szCs w:val="24"/>
        </w:rPr>
      </w:pPr>
      <w:r w:rsidRPr="005F14BE">
        <w:rPr>
          <w:rFonts w:ascii="Arial" w:hAnsi="Arial" w:cs="Arial"/>
          <w:b/>
          <w:bCs/>
          <w:sz w:val="24"/>
          <w:szCs w:val="24"/>
        </w:rPr>
        <w:t xml:space="preserve">The Most Expensive and Least Expensive Cities </w:t>
      </w:r>
      <w:r w:rsidR="00F16443">
        <w:rPr>
          <w:rFonts w:ascii="Arial" w:hAnsi="Arial" w:cs="Arial"/>
          <w:b/>
          <w:bCs/>
          <w:sz w:val="24"/>
          <w:szCs w:val="24"/>
        </w:rPr>
        <w:t>to Drop in for</w:t>
      </w:r>
      <w:r w:rsidR="00B97E7E">
        <w:rPr>
          <w:rFonts w:ascii="Arial" w:hAnsi="Arial" w:cs="Arial"/>
          <w:b/>
          <w:bCs/>
          <w:sz w:val="24"/>
          <w:szCs w:val="24"/>
        </w:rPr>
        <w:t xml:space="preserve"> a</w:t>
      </w:r>
      <w:r w:rsidR="00F16443">
        <w:rPr>
          <w:rFonts w:ascii="Arial" w:hAnsi="Arial" w:cs="Arial"/>
          <w:b/>
          <w:bCs/>
          <w:sz w:val="24"/>
          <w:szCs w:val="24"/>
        </w:rPr>
        <w:t xml:space="preserve"> Yoga</w:t>
      </w:r>
      <w:r w:rsidR="00B97E7E">
        <w:rPr>
          <w:rFonts w:ascii="Arial" w:hAnsi="Arial" w:cs="Arial"/>
          <w:b/>
          <w:bCs/>
          <w:sz w:val="24"/>
          <w:szCs w:val="24"/>
        </w:rPr>
        <w:t xml:space="preserve"> </w:t>
      </w:r>
      <w:r w:rsidR="00BE4049">
        <w:rPr>
          <w:rFonts w:ascii="Arial" w:hAnsi="Arial" w:cs="Arial"/>
          <w:b/>
          <w:bCs/>
          <w:sz w:val="24"/>
          <w:szCs w:val="24"/>
        </w:rPr>
        <w:t>C</w:t>
      </w:r>
      <w:r w:rsidR="00B97E7E">
        <w:rPr>
          <w:rFonts w:ascii="Arial" w:hAnsi="Arial" w:cs="Arial"/>
          <w:b/>
          <w:bCs/>
          <w:sz w:val="24"/>
          <w:szCs w:val="24"/>
        </w:rPr>
        <w:t>lass</w:t>
      </w:r>
    </w:p>
    <w:p w14:paraId="7C09F00C" w14:textId="05190E69" w:rsidR="00973079" w:rsidRPr="00E921D7" w:rsidRDefault="006A72E8" w:rsidP="00B50102">
      <w:pPr>
        <w:autoSpaceDE w:val="0"/>
        <w:autoSpaceDN w:val="0"/>
        <w:adjustRightInd w:val="0"/>
        <w:rPr>
          <w:rFonts w:ascii="Arial" w:hAnsi="Arial" w:cs="Arial"/>
          <w:iCs/>
          <w:sz w:val="21"/>
          <w:szCs w:val="21"/>
        </w:rPr>
      </w:pPr>
      <w:r w:rsidRPr="006A72E8">
        <w:rPr>
          <w:rFonts w:ascii="Arial" w:hAnsi="Arial" w:cs="Arial"/>
          <w:sz w:val="21"/>
          <w:szCs w:val="21"/>
        </w:rPr>
        <w:t xml:space="preserve">According to the most recent COLI Annual Average publications, the prices for drop-in yoga classes have </w:t>
      </w:r>
      <w:r w:rsidR="004E7FCD">
        <w:rPr>
          <w:rFonts w:ascii="Arial" w:hAnsi="Arial" w:cs="Arial"/>
          <w:sz w:val="21"/>
          <w:szCs w:val="21"/>
        </w:rPr>
        <w:t>been climbing at a rate of</w:t>
      </w:r>
      <w:r w:rsidRPr="006A72E8">
        <w:rPr>
          <w:rFonts w:ascii="Arial" w:hAnsi="Arial" w:cs="Arial"/>
          <w:sz w:val="21"/>
          <w:szCs w:val="21"/>
        </w:rPr>
        <w:t xml:space="preserve"> around 7% per year. </w:t>
      </w:r>
      <w:r w:rsidR="004E7FCD">
        <w:rPr>
          <w:rFonts w:ascii="Arial" w:hAnsi="Arial" w:cs="Arial"/>
          <w:sz w:val="21"/>
          <w:szCs w:val="21"/>
        </w:rPr>
        <w:t xml:space="preserve">This is </w:t>
      </w:r>
      <w:r w:rsidR="00FA216E">
        <w:rPr>
          <w:rFonts w:ascii="Arial" w:hAnsi="Arial" w:cs="Arial"/>
          <w:sz w:val="21"/>
          <w:szCs w:val="21"/>
        </w:rPr>
        <w:t xml:space="preserve">a stark contrast to </w:t>
      </w:r>
      <w:r w:rsidR="008065FB">
        <w:rPr>
          <w:rFonts w:ascii="Arial" w:hAnsi="Arial" w:cs="Arial"/>
          <w:sz w:val="21"/>
          <w:szCs w:val="21"/>
        </w:rPr>
        <w:t xml:space="preserve">the 2021 publication </w:t>
      </w:r>
      <w:r w:rsidR="004F06F0">
        <w:rPr>
          <w:rFonts w:ascii="Arial" w:hAnsi="Arial" w:cs="Arial"/>
          <w:sz w:val="21"/>
          <w:szCs w:val="21"/>
        </w:rPr>
        <w:t xml:space="preserve">depicting an increase </w:t>
      </w:r>
      <w:r w:rsidR="00CC72B6">
        <w:rPr>
          <w:rFonts w:ascii="Arial" w:hAnsi="Arial" w:cs="Arial"/>
          <w:sz w:val="21"/>
          <w:szCs w:val="21"/>
        </w:rPr>
        <w:t xml:space="preserve">of only 2.5% from the previous year. </w:t>
      </w:r>
      <w:r w:rsidR="00940E3C">
        <w:rPr>
          <w:rFonts w:ascii="Arial" w:hAnsi="Arial" w:cs="Arial"/>
          <w:sz w:val="21"/>
          <w:szCs w:val="21"/>
        </w:rPr>
        <w:t xml:space="preserve">As of </w:t>
      </w:r>
      <w:r w:rsidR="005C2211">
        <w:rPr>
          <w:rFonts w:ascii="Arial" w:hAnsi="Arial" w:cs="Arial"/>
          <w:sz w:val="21"/>
          <w:szCs w:val="21"/>
        </w:rPr>
        <w:t xml:space="preserve">the 2023 </w:t>
      </w:r>
      <w:r w:rsidR="002A22E7">
        <w:rPr>
          <w:rFonts w:ascii="Arial" w:hAnsi="Arial" w:cs="Arial"/>
          <w:sz w:val="21"/>
          <w:szCs w:val="21"/>
        </w:rPr>
        <w:t xml:space="preserve">Annual Average </w:t>
      </w:r>
      <w:r w:rsidR="005C2211">
        <w:rPr>
          <w:rFonts w:ascii="Arial" w:hAnsi="Arial" w:cs="Arial"/>
          <w:sz w:val="21"/>
          <w:szCs w:val="21"/>
        </w:rPr>
        <w:t>publication</w:t>
      </w:r>
      <w:r w:rsidR="002A22E7">
        <w:rPr>
          <w:rFonts w:ascii="Arial" w:hAnsi="Arial" w:cs="Arial"/>
          <w:sz w:val="21"/>
          <w:szCs w:val="21"/>
        </w:rPr>
        <w:t>, t</w:t>
      </w:r>
      <w:r w:rsidRPr="006A72E8">
        <w:rPr>
          <w:rFonts w:ascii="Arial" w:hAnsi="Arial" w:cs="Arial"/>
          <w:sz w:val="21"/>
          <w:szCs w:val="21"/>
        </w:rPr>
        <w:t xml:space="preserve">he overall average cost is $18.05. San Jose, CA, leads as the most expensive city with an average of $33.30, while Bullhead City, AZ, </w:t>
      </w:r>
      <w:r w:rsidR="00615B69">
        <w:rPr>
          <w:rFonts w:ascii="Arial" w:hAnsi="Arial" w:cs="Arial"/>
          <w:sz w:val="21"/>
          <w:szCs w:val="21"/>
        </w:rPr>
        <w:t xml:space="preserve">is </w:t>
      </w:r>
      <w:r w:rsidR="00DD2F3D">
        <w:rPr>
          <w:rFonts w:ascii="Arial" w:hAnsi="Arial" w:cs="Arial"/>
          <w:sz w:val="21"/>
          <w:szCs w:val="21"/>
        </w:rPr>
        <w:t>markedly affordable at</w:t>
      </w:r>
      <w:r w:rsidRPr="006A72E8">
        <w:rPr>
          <w:rFonts w:ascii="Arial" w:hAnsi="Arial" w:cs="Arial"/>
          <w:sz w:val="21"/>
          <w:szCs w:val="21"/>
        </w:rPr>
        <w:t xml:space="preserve"> $6.67. Whether you’re someone who wants to plan a new budget, a traveler considering a new activity, or studio owner strategizing pricing, this data provides valuable insights on what can be your next step.</w:t>
      </w:r>
    </w:p>
    <w:p w14:paraId="73CE6CF9" w14:textId="77777777" w:rsidR="007F349E" w:rsidRPr="005F14BE" w:rsidRDefault="007F349E" w:rsidP="00B50102">
      <w:pPr>
        <w:autoSpaceDE w:val="0"/>
        <w:autoSpaceDN w:val="0"/>
        <w:adjustRightInd w:val="0"/>
        <w:rPr>
          <w:rFonts w:ascii="Arial" w:hAnsi="Arial" w:cs="Arial"/>
          <w:sz w:val="14"/>
        </w:rPr>
      </w:pPr>
    </w:p>
    <w:tbl>
      <w:tblPr>
        <w:tblW w:w="10341" w:type="dxa"/>
        <w:jc w:val="center"/>
        <w:tblLayout w:type="fixed"/>
        <w:tblLook w:val="0000" w:firstRow="0" w:lastRow="0" w:firstColumn="0" w:lastColumn="0" w:noHBand="0" w:noVBand="0"/>
      </w:tblPr>
      <w:tblGrid>
        <w:gridCol w:w="1079"/>
        <w:gridCol w:w="3151"/>
        <w:gridCol w:w="1170"/>
        <w:gridCol w:w="1080"/>
        <w:gridCol w:w="2700"/>
        <w:gridCol w:w="1161"/>
      </w:tblGrid>
      <w:tr w:rsidR="005F14BE" w:rsidRPr="005F14BE" w14:paraId="1E20E0DF" w14:textId="77777777" w:rsidTr="00B43CAC">
        <w:trPr>
          <w:trHeight w:val="290"/>
          <w:jc w:val="center"/>
        </w:trPr>
        <w:tc>
          <w:tcPr>
            <w:tcW w:w="10341" w:type="dxa"/>
            <w:gridSpan w:val="6"/>
            <w:tcBorders>
              <w:bottom w:val="single" w:sz="4" w:space="0" w:color="auto"/>
            </w:tcBorders>
          </w:tcPr>
          <w:p w14:paraId="1523B49B" w14:textId="788EAC7F" w:rsidR="00885CD6" w:rsidRPr="005F14BE" w:rsidRDefault="00885CD6" w:rsidP="00885CD6">
            <w:pPr>
              <w:autoSpaceDE w:val="0"/>
              <w:autoSpaceDN w:val="0"/>
              <w:adjustRightInd w:val="0"/>
              <w:jc w:val="center"/>
              <w:rPr>
                <w:rFonts w:ascii="Arial" w:hAnsi="Arial" w:cs="Arial"/>
                <w:b/>
                <w:bCs/>
                <w:sz w:val="21"/>
                <w:szCs w:val="21"/>
              </w:rPr>
            </w:pPr>
            <w:r w:rsidRPr="005F14BE">
              <w:rPr>
                <w:rFonts w:ascii="Arial" w:hAnsi="Arial" w:cs="Arial"/>
                <w:b/>
                <w:bCs/>
                <w:sz w:val="21"/>
                <w:szCs w:val="21"/>
              </w:rPr>
              <w:t xml:space="preserve">The Five Most and Least Expensive Places </w:t>
            </w:r>
            <w:r w:rsidR="00035F9F" w:rsidRPr="00035F9F">
              <w:rPr>
                <w:rFonts w:ascii="Arial" w:hAnsi="Arial" w:cs="Arial"/>
                <w:b/>
                <w:bCs/>
                <w:sz w:val="21"/>
                <w:szCs w:val="21"/>
              </w:rPr>
              <w:t>to Drop in for</w:t>
            </w:r>
            <w:r w:rsidR="00B97E7E">
              <w:rPr>
                <w:rFonts w:ascii="Arial" w:hAnsi="Arial" w:cs="Arial"/>
                <w:b/>
                <w:bCs/>
                <w:sz w:val="21"/>
                <w:szCs w:val="21"/>
              </w:rPr>
              <w:t xml:space="preserve"> a</w:t>
            </w:r>
            <w:r w:rsidR="00035F9F" w:rsidRPr="00035F9F">
              <w:rPr>
                <w:rFonts w:ascii="Arial" w:hAnsi="Arial" w:cs="Arial"/>
                <w:b/>
                <w:bCs/>
                <w:sz w:val="21"/>
                <w:szCs w:val="21"/>
              </w:rPr>
              <w:t xml:space="preserve"> Yoga</w:t>
            </w:r>
            <w:r w:rsidR="00B97E7E">
              <w:rPr>
                <w:rFonts w:ascii="Arial" w:hAnsi="Arial" w:cs="Arial"/>
                <w:b/>
                <w:bCs/>
                <w:sz w:val="21"/>
                <w:szCs w:val="21"/>
              </w:rPr>
              <w:t xml:space="preserve"> class</w:t>
            </w:r>
          </w:p>
          <w:p w14:paraId="37BF890B" w14:textId="77777777" w:rsidR="00B97E7E" w:rsidRPr="00DF4CDE" w:rsidRDefault="00B97E7E" w:rsidP="00B97E7E">
            <w:pPr>
              <w:jc w:val="center"/>
              <w:rPr>
                <w:rFonts w:ascii="Arial" w:hAnsi="Arial" w:cs="Arial"/>
                <w:b/>
                <w:bCs/>
                <w:sz w:val="21"/>
                <w:szCs w:val="21"/>
              </w:rPr>
            </w:pPr>
            <w:r>
              <w:rPr>
                <w:rFonts w:ascii="Arial" w:hAnsi="Arial" w:cs="Arial"/>
                <w:b/>
                <w:bCs/>
                <w:sz w:val="21"/>
                <w:szCs w:val="21"/>
              </w:rPr>
              <w:t>Year-End Review of Three Quarters in 2023</w:t>
            </w:r>
          </w:p>
          <w:p w14:paraId="242AEF09" w14:textId="23FE46A8" w:rsidR="00792435" w:rsidRPr="00B5554B" w:rsidRDefault="00792435" w:rsidP="00B5554B">
            <w:pPr>
              <w:jc w:val="center"/>
              <w:rPr>
                <w:rFonts w:ascii="Arial" w:hAnsi="Arial" w:cs="Arial"/>
                <w:b/>
                <w:bCs/>
                <w:sz w:val="21"/>
                <w:szCs w:val="21"/>
              </w:rPr>
            </w:pPr>
            <w:r w:rsidRPr="005F14BE">
              <w:rPr>
                <w:rFonts w:ascii="Arial" w:hAnsi="Arial" w:cs="Arial"/>
                <w:b/>
                <w:bCs/>
                <w:sz w:val="21"/>
                <w:szCs w:val="21"/>
              </w:rPr>
              <w:t xml:space="preserve">Average for </w:t>
            </w:r>
            <w:r w:rsidR="00DF6325" w:rsidRPr="005F14BE">
              <w:rPr>
                <w:rFonts w:ascii="Arial" w:hAnsi="Arial" w:cs="Arial"/>
                <w:b/>
                <w:bCs/>
                <w:sz w:val="21"/>
                <w:szCs w:val="21"/>
              </w:rPr>
              <w:t>2</w:t>
            </w:r>
            <w:r w:rsidR="00D805EA">
              <w:rPr>
                <w:rFonts w:ascii="Arial" w:hAnsi="Arial" w:cs="Arial"/>
                <w:b/>
                <w:bCs/>
                <w:sz w:val="21"/>
                <w:szCs w:val="21"/>
              </w:rPr>
              <w:t>76</w:t>
            </w:r>
            <w:r w:rsidRPr="005F14BE">
              <w:rPr>
                <w:rFonts w:ascii="Arial" w:hAnsi="Arial" w:cs="Arial"/>
                <w:b/>
                <w:bCs/>
                <w:sz w:val="21"/>
                <w:szCs w:val="21"/>
              </w:rPr>
              <w:t xml:space="preserve"> Urban Areas = </w:t>
            </w:r>
            <w:r w:rsidR="00900127" w:rsidRPr="00900127">
              <w:rPr>
                <w:rFonts w:ascii="Arial" w:hAnsi="Arial" w:cs="Arial"/>
                <w:b/>
                <w:bCs/>
                <w:sz w:val="21"/>
                <w:szCs w:val="21"/>
              </w:rPr>
              <w:t>$</w:t>
            </w:r>
            <w:r w:rsidR="000D30AA">
              <w:rPr>
                <w:rFonts w:ascii="Arial" w:hAnsi="Arial" w:cs="Arial"/>
                <w:b/>
                <w:bCs/>
                <w:sz w:val="21"/>
                <w:szCs w:val="21"/>
              </w:rPr>
              <w:t>1</w:t>
            </w:r>
            <w:r w:rsidR="00D805EA">
              <w:rPr>
                <w:rFonts w:ascii="Arial" w:hAnsi="Arial" w:cs="Arial"/>
                <w:b/>
                <w:bCs/>
                <w:sz w:val="21"/>
                <w:szCs w:val="21"/>
              </w:rPr>
              <w:t>8.05</w:t>
            </w:r>
          </w:p>
        </w:tc>
      </w:tr>
      <w:tr w:rsidR="005F14BE" w:rsidRPr="005F14BE" w14:paraId="36EB486D" w14:textId="77777777" w:rsidTr="006E189E">
        <w:trPr>
          <w:trHeight w:val="290"/>
          <w:jc w:val="center"/>
        </w:trPr>
        <w:tc>
          <w:tcPr>
            <w:tcW w:w="4230" w:type="dxa"/>
            <w:gridSpan w:val="2"/>
            <w:tcBorders>
              <w:top w:val="single" w:sz="4" w:space="0" w:color="auto"/>
            </w:tcBorders>
            <w:vAlign w:val="center"/>
          </w:tcPr>
          <w:p w14:paraId="6E5F921E"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Most Expensive</w:t>
            </w:r>
          </w:p>
        </w:tc>
        <w:tc>
          <w:tcPr>
            <w:tcW w:w="1170" w:type="dxa"/>
            <w:tcBorders>
              <w:top w:val="single" w:sz="4" w:space="0" w:color="auto"/>
              <w:right w:val="single" w:sz="4" w:space="0" w:color="auto"/>
            </w:tcBorders>
            <w:vAlign w:val="center"/>
          </w:tcPr>
          <w:p w14:paraId="63757132" w14:textId="77777777" w:rsidR="00D50C2D" w:rsidRPr="005F14BE" w:rsidRDefault="00D50C2D" w:rsidP="000F5E78">
            <w:pPr>
              <w:autoSpaceDE w:val="0"/>
              <w:autoSpaceDN w:val="0"/>
              <w:adjustRightInd w:val="0"/>
              <w:jc w:val="right"/>
              <w:rPr>
                <w:rFonts w:ascii="Arial" w:hAnsi="Arial" w:cs="Arial"/>
                <w:sz w:val="20"/>
                <w:szCs w:val="20"/>
              </w:rPr>
            </w:pPr>
          </w:p>
        </w:tc>
        <w:tc>
          <w:tcPr>
            <w:tcW w:w="3780" w:type="dxa"/>
            <w:gridSpan w:val="2"/>
            <w:tcBorders>
              <w:top w:val="single" w:sz="4" w:space="0" w:color="auto"/>
              <w:left w:val="single" w:sz="4" w:space="0" w:color="auto"/>
            </w:tcBorders>
            <w:vAlign w:val="center"/>
          </w:tcPr>
          <w:p w14:paraId="2B848560" w14:textId="77777777" w:rsidR="00D50C2D" w:rsidRPr="005F14BE" w:rsidRDefault="00D50C2D" w:rsidP="000F5E78">
            <w:pPr>
              <w:autoSpaceDE w:val="0"/>
              <w:autoSpaceDN w:val="0"/>
              <w:adjustRightInd w:val="0"/>
              <w:rPr>
                <w:rFonts w:ascii="Arial" w:hAnsi="Arial" w:cs="Arial"/>
                <w:b/>
                <w:bCs/>
                <w:sz w:val="20"/>
                <w:szCs w:val="20"/>
              </w:rPr>
            </w:pPr>
            <w:r w:rsidRPr="005F14BE">
              <w:rPr>
                <w:rFonts w:ascii="Arial" w:hAnsi="Arial" w:cs="Arial"/>
                <w:b/>
                <w:bCs/>
                <w:sz w:val="20"/>
                <w:szCs w:val="20"/>
              </w:rPr>
              <w:t>Least Expensive</w:t>
            </w:r>
          </w:p>
        </w:tc>
        <w:tc>
          <w:tcPr>
            <w:tcW w:w="1161" w:type="dxa"/>
            <w:tcBorders>
              <w:top w:val="single" w:sz="4" w:space="0" w:color="auto"/>
            </w:tcBorders>
          </w:tcPr>
          <w:p w14:paraId="15FD712B" w14:textId="77777777" w:rsidR="00D50C2D" w:rsidRPr="005F14BE" w:rsidRDefault="00D50C2D" w:rsidP="000F5E78">
            <w:pPr>
              <w:autoSpaceDE w:val="0"/>
              <w:autoSpaceDN w:val="0"/>
              <w:adjustRightInd w:val="0"/>
              <w:jc w:val="right"/>
              <w:rPr>
                <w:rFonts w:ascii="Arial" w:hAnsi="Arial" w:cs="Arial"/>
                <w:sz w:val="20"/>
                <w:szCs w:val="20"/>
              </w:rPr>
            </w:pPr>
          </w:p>
        </w:tc>
      </w:tr>
      <w:tr w:rsidR="005F14BE" w:rsidRPr="005F14BE" w14:paraId="40A0D690" w14:textId="77777777" w:rsidTr="006E189E">
        <w:trPr>
          <w:trHeight w:val="290"/>
          <w:jc w:val="center"/>
        </w:trPr>
        <w:tc>
          <w:tcPr>
            <w:tcW w:w="1079" w:type="dxa"/>
            <w:vAlign w:val="center"/>
          </w:tcPr>
          <w:p w14:paraId="7B465436"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3151" w:type="dxa"/>
            <w:vAlign w:val="center"/>
          </w:tcPr>
          <w:p w14:paraId="54199AEB"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70" w:type="dxa"/>
            <w:tcBorders>
              <w:right w:val="single" w:sz="4" w:space="0" w:color="auto"/>
            </w:tcBorders>
            <w:vAlign w:val="center"/>
          </w:tcPr>
          <w:p w14:paraId="75591A96" w14:textId="4589E221" w:rsidR="00D50C2D" w:rsidRPr="005F14BE" w:rsidRDefault="00D50C2D" w:rsidP="00F36169">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713AD6">
              <w:rPr>
                <w:rFonts w:ascii="Arial" w:hAnsi="Arial" w:cs="Arial"/>
                <w:b/>
                <w:sz w:val="20"/>
                <w:szCs w:val="20"/>
              </w:rPr>
              <w:t>Price</w:t>
            </w:r>
          </w:p>
        </w:tc>
        <w:tc>
          <w:tcPr>
            <w:tcW w:w="1080" w:type="dxa"/>
            <w:tcBorders>
              <w:left w:val="single" w:sz="4" w:space="0" w:color="auto"/>
            </w:tcBorders>
            <w:vAlign w:val="center"/>
          </w:tcPr>
          <w:p w14:paraId="765DD7F0" w14:textId="77777777" w:rsidR="00D50C2D" w:rsidRPr="005F14BE" w:rsidRDefault="00D50C2D" w:rsidP="000F5E78">
            <w:pPr>
              <w:autoSpaceDE w:val="0"/>
              <w:autoSpaceDN w:val="0"/>
              <w:adjustRightInd w:val="0"/>
              <w:rPr>
                <w:rFonts w:ascii="Arial" w:hAnsi="Arial" w:cs="Arial"/>
                <w:b/>
                <w:sz w:val="20"/>
                <w:szCs w:val="20"/>
              </w:rPr>
            </w:pPr>
            <w:r w:rsidRPr="005F14BE">
              <w:rPr>
                <w:rFonts w:ascii="Arial" w:hAnsi="Arial" w:cs="Arial"/>
                <w:b/>
                <w:sz w:val="20"/>
                <w:szCs w:val="20"/>
              </w:rPr>
              <w:t>Ranking</w:t>
            </w:r>
          </w:p>
        </w:tc>
        <w:tc>
          <w:tcPr>
            <w:tcW w:w="2700" w:type="dxa"/>
            <w:vAlign w:val="center"/>
          </w:tcPr>
          <w:p w14:paraId="0931FE50" w14:textId="77777777" w:rsidR="00D50C2D" w:rsidRPr="005F14BE" w:rsidRDefault="00D50C2D" w:rsidP="00B43CAC">
            <w:pPr>
              <w:autoSpaceDE w:val="0"/>
              <w:autoSpaceDN w:val="0"/>
              <w:adjustRightInd w:val="0"/>
              <w:rPr>
                <w:rFonts w:ascii="Arial" w:hAnsi="Arial" w:cs="Arial"/>
                <w:b/>
                <w:sz w:val="20"/>
                <w:szCs w:val="20"/>
              </w:rPr>
            </w:pPr>
            <w:r w:rsidRPr="005F14BE">
              <w:rPr>
                <w:rFonts w:ascii="Arial" w:hAnsi="Arial" w:cs="Arial"/>
                <w:b/>
                <w:sz w:val="20"/>
                <w:szCs w:val="20"/>
              </w:rPr>
              <w:t>Urban Areas</w:t>
            </w:r>
          </w:p>
        </w:tc>
        <w:tc>
          <w:tcPr>
            <w:tcW w:w="1161" w:type="dxa"/>
            <w:vAlign w:val="center"/>
          </w:tcPr>
          <w:p w14:paraId="5DF5FABC" w14:textId="5D2C0FD4" w:rsidR="00D50C2D" w:rsidRPr="005F14BE" w:rsidRDefault="00D50C2D" w:rsidP="00A15CAA">
            <w:pPr>
              <w:autoSpaceDE w:val="0"/>
              <w:autoSpaceDN w:val="0"/>
              <w:adjustRightInd w:val="0"/>
              <w:jc w:val="center"/>
              <w:rPr>
                <w:rFonts w:ascii="Arial" w:hAnsi="Arial" w:cs="Arial"/>
                <w:b/>
                <w:sz w:val="20"/>
                <w:szCs w:val="20"/>
              </w:rPr>
            </w:pPr>
            <w:r w:rsidRPr="005F14BE">
              <w:rPr>
                <w:rFonts w:ascii="Arial" w:hAnsi="Arial" w:cs="Arial"/>
                <w:b/>
                <w:sz w:val="20"/>
                <w:szCs w:val="20"/>
              </w:rPr>
              <w:t xml:space="preserve">Avg. </w:t>
            </w:r>
            <w:r w:rsidR="00713AD6">
              <w:rPr>
                <w:rFonts w:ascii="Arial" w:hAnsi="Arial" w:cs="Arial"/>
                <w:b/>
                <w:sz w:val="20"/>
                <w:szCs w:val="20"/>
              </w:rPr>
              <w:t>Price</w:t>
            </w:r>
          </w:p>
        </w:tc>
      </w:tr>
      <w:tr w:rsidR="00900AF1" w:rsidRPr="00900AF1" w14:paraId="4E0E65C3" w14:textId="77777777" w:rsidTr="006E189E">
        <w:trPr>
          <w:trHeight w:val="290"/>
          <w:jc w:val="center"/>
        </w:trPr>
        <w:tc>
          <w:tcPr>
            <w:tcW w:w="1079" w:type="dxa"/>
            <w:vAlign w:val="center"/>
          </w:tcPr>
          <w:p w14:paraId="75542B19"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1</w:t>
            </w:r>
          </w:p>
        </w:tc>
        <w:tc>
          <w:tcPr>
            <w:tcW w:w="3151" w:type="dxa"/>
          </w:tcPr>
          <w:p w14:paraId="390667A7" w14:textId="72E558D8" w:rsidR="00900AF1" w:rsidRPr="00900AF1" w:rsidRDefault="00900AF1" w:rsidP="00900AF1">
            <w:pPr>
              <w:rPr>
                <w:rFonts w:ascii="Arial" w:hAnsi="Arial" w:cs="Arial"/>
                <w:sz w:val="22"/>
                <w:szCs w:val="22"/>
              </w:rPr>
            </w:pPr>
            <w:r w:rsidRPr="00900AF1">
              <w:rPr>
                <w:rFonts w:ascii="Arial" w:hAnsi="Arial" w:cs="Arial"/>
                <w:sz w:val="22"/>
                <w:szCs w:val="22"/>
              </w:rPr>
              <w:t>San Jose CA</w:t>
            </w:r>
          </w:p>
        </w:tc>
        <w:tc>
          <w:tcPr>
            <w:tcW w:w="1170" w:type="dxa"/>
            <w:tcBorders>
              <w:right w:val="single" w:sz="4" w:space="0" w:color="auto"/>
            </w:tcBorders>
          </w:tcPr>
          <w:p w14:paraId="45C33807" w14:textId="29C6DF74" w:rsidR="00900AF1" w:rsidRPr="00900AF1" w:rsidRDefault="00900AF1" w:rsidP="00900AF1">
            <w:pPr>
              <w:rPr>
                <w:rFonts w:ascii="Arial" w:hAnsi="Arial" w:cs="Arial"/>
                <w:sz w:val="22"/>
                <w:szCs w:val="22"/>
              </w:rPr>
            </w:pPr>
            <w:r w:rsidRPr="00900AF1">
              <w:rPr>
                <w:rFonts w:ascii="Arial" w:hAnsi="Arial" w:cs="Arial"/>
                <w:sz w:val="22"/>
                <w:szCs w:val="22"/>
              </w:rPr>
              <w:t xml:space="preserve"> $33.30 </w:t>
            </w:r>
          </w:p>
        </w:tc>
        <w:tc>
          <w:tcPr>
            <w:tcW w:w="1080" w:type="dxa"/>
            <w:tcBorders>
              <w:left w:val="single" w:sz="4" w:space="0" w:color="auto"/>
            </w:tcBorders>
            <w:vAlign w:val="center"/>
          </w:tcPr>
          <w:p w14:paraId="6D492D85"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1</w:t>
            </w:r>
          </w:p>
        </w:tc>
        <w:tc>
          <w:tcPr>
            <w:tcW w:w="2700" w:type="dxa"/>
          </w:tcPr>
          <w:p w14:paraId="2B644460" w14:textId="7A9D4FE7" w:rsidR="00900AF1" w:rsidRPr="00900AF1" w:rsidRDefault="00900AF1" w:rsidP="00900AF1">
            <w:pPr>
              <w:rPr>
                <w:rFonts w:ascii="Arial" w:hAnsi="Arial" w:cs="Arial"/>
                <w:sz w:val="22"/>
                <w:szCs w:val="22"/>
              </w:rPr>
            </w:pPr>
            <w:r w:rsidRPr="00900AF1">
              <w:rPr>
                <w:rFonts w:ascii="Arial" w:hAnsi="Arial" w:cs="Arial"/>
                <w:sz w:val="22"/>
                <w:szCs w:val="22"/>
              </w:rPr>
              <w:t>Bullhead City AZ</w:t>
            </w:r>
          </w:p>
        </w:tc>
        <w:tc>
          <w:tcPr>
            <w:tcW w:w="1161" w:type="dxa"/>
          </w:tcPr>
          <w:p w14:paraId="409FD07F" w14:textId="57AD3D7F" w:rsidR="00900AF1" w:rsidRPr="00900AF1" w:rsidRDefault="00900AF1" w:rsidP="00900AF1">
            <w:pPr>
              <w:rPr>
                <w:rFonts w:ascii="Arial" w:hAnsi="Arial" w:cs="Arial"/>
                <w:sz w:val="22"/>
                <w:szCs w:val="22"/>
              </w:rPr>
            </w:pPr>
            <w:r w:rsidRPr="00900AF1">
              <w:rPr>
                <w:rFonts w:ascii="Arial" w:hAnsi="Arial" w:cs="Arial"/>
                <w:sz w:val="22"/>
                <w:szCs w:val="22"/>
              </w:rPr>
              <w:t xml:space="preserve"> $6.67 </w:t>
            </w:r>
          </w:p>
        </w:tc>
      </w:tr>
      <w:tr w:rsidR="00900AF1" w:rsidRPr="00900AF1" w14:paraId="759CE2A6" w14:textId="77777777" w:rsidTr="006E189E">
        <w:trPr>
          <w:trHeight w:val="290"/>
          <w:jc w:val="center"/>
        </w:trPr>
        <w:tc>
          <w:tcPr>
            <w:tcW w:w="1079" w:type="dxa"/>
            <w:vAlign w:val="center"/>
          </w:tcPr>
          <w:p w14:paraId="1962CA93"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2</w:t>
            </w:r>
          </w:p>
        </w:tc>
        <w:tc>
          <w:tcPr>
            <w:tcW w:w="3151" w:type="dxa"/>
          </w:tcPr>
          <w:p w14:paraId="7E022FFB" w14:textId="63AEB81D" w:rsidR="00900AF1" w:rsidRPr="00900AF1" w:rsidRDefault="00900AF1" w:rsidP="00900AF1">
            <w:pPr>
              <w:rPr>
                <w:rFonts w:ascii="Arial" w:hAnsi="Arial" w:cs="Arial"/>
                <w:sz w:val="22"/>
                <w:szCs w:val="22"/>
              </w:rPr>
            </w:pPr>
            <w:r w:rsidRPr="00900AF1">
              <w:rPr>
                <w:rFonts w:ascii="Arial" w:hAnsi="Arial" w:cs="Arial"/>
                <w:sz w:val="22"/>
                <w:szCs w:val="22"/>
              </w:rPr>
              <w:t>New York (Manhattan) NY</w:t>
            </w:r>
          </w:p>
        </w:tc>
        <w:tc>
          <w:tcPr>
            <w:tcW w:w="1170" w:type="dxa"/>
            <w:tcBorders>
              <w:right w:val="single" w:sz="4" w:space="0" w:color="auto"/>
            </w:tcBorders>
          </w:tcPr>
          <w:p w14:paraId="34F7B46F" w14:textId="6ED84178" w:rsidR="00900AF1" w:rsidRPr="00900AF1" w:rsidRDefault="00900AF1" w:rsidP="00900AF1">
            <w:pPr>
              <w:rPr>
                <w:rFonts w:ascii="Arial" w:hAnsi="Arial" w:cs="Arial"/>
                <w:sz w:val="22"/>
                <w:szCs w:val="22"/>
              </w:rPr>
            </w:pPr>
            <w:r w:rsidRPr="00900AF1">
              <w:rPr>
                <w:rFonts w:ascii="Arial" w:hAnsi="Arial" w:cs="Arial"/>
                <w:sz w:val="22"/>
                <w:szCs w:val="22"/>
              </w:rPr>
              <w:t xml:space="preserve"> $30.72 </w:t>
            </w:r>
          </w:p>
        </w:tc>
        <w:tc>
          <w:tcPr>
            <w:tcW w:w="1080" w:type="dxa"/>
            <w:tcBorders>
              <w:left w:val="single" w:sz="4" w:space="0" w:color="auto"/>
            </w:tcBorders>
            <w:vAlign w:val="center"/>
          </w:tcPr>
          <w:p w14:paraId="1DD1D0BB"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2</w:t>
            </w:r>
          </w:p>
        </w:tc>
        <w:tc>
          <w:tcPr>
            <w:tcW w:w="2700" w:type="dxa"/>
          </w:tcPr>
          <w:p w14:paraId="15415793" w14:textId="65CD6DD6" w:rsidR="00900AF1" w:rsidRPr="00900AF1" w:rsidRDefault="00900AF1" w:rsidP="00900AF1">
            <w:pPr>
              <w:rPr>
                <w:rFonts w:ascii="Arial" w:hAnsi="Arial" w:cs="Arial"/>
                <w:sz w:val="22"/>
                <w:szCs w:val="22"/>
              </w:rPr>
            </w:pPr>
            <w:r w:rsidRPr="00900AF1">
              <w:rPr>
                <w:rFonts w:ascii="Arial" w:hAnsi="Arial" w:cs="Arial"/>
                <w:sz w:val="22"/>
                <w:szCs w:val="22"/>
              </w:rPr>
              <w:t>Morristown TN</w:t>
            </w:r>
          </w:p>
        </w:tc>
        <w:tc>
          <w:tcPr>
            <w:tcW w:w="1161" w:type="dxa"/>
          </w:tcPr>
          <w:p w14:paraId="06C95A61" w14:textId="7151E974" w:rsidR="00900AF1" w:rsidRPr="00900AF1" w:rsidRDefault="00900AF1" w:rsidP="00900AF1">
            <w:pPr>
              <w:rPr>
                <w:rFonts w:ascii="Arial" w:hAnsi="Arial" w:cs="Arial"/>
                <w:sz w:val="22"/>
                <w:szCs w:val="22"/>
              </w:rPr>
            </w:pPr>
            <w:r w:rsidRPr="00900AF1">
              <w:rPr>
                <w:rFonts w:ascii="Arial" w:hAnsi="Arial" w:cs="Arial"/>
                <w:sz w:val="22"/>
                <w:szCs w:val="22"/>
              </w:rPr>
              <w:t xml:space="preserve"> $7.11 </w:t>
            </w:r>
          </w:p>
        </w:tc>
      </w:tr>
      <w:tr w:rsidR="00900AF1" w:rsidRPr="00900AF1" w14:paraId="19CB2799" w14:textId="77777777" w:rsidTr="006E189E">
        <w:trPr>
          <w:trHeight w:val="290"/>
          <w:jc w:val="center"/>
        </w:trPr>
        <w:tc>
          <w:tcPr>
            <w:tcW w:w="1079" w:type="dxa"/>
            <w:vAlign w:val="center"/>
          </w:tcPr>
          <w:p w14:paraId="1EAFE8FA"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3</w:t>
            </w:r>
          </w:p>
        </w:tc>
        <w:tc>
          <w:tcPr>
            <w:tcW w:w="3151" w:type="dxa"/>
          </w:tcPr>
          <w:p w14:paraId="5D897D3C" w14:textId="099BA1BB" w:rsidR="00900AF1" w:rsidRPr="00900AF1" w:rsidRDefault="00900AF1" w:rsidP="00900AF1">
            <w:pPr>
              <w:rPr>
                <w:rFonts w:ascii="Arial" w:hAnsi="Arial" w:cs="Arial"/>
                <w:sz w:val="22"/>
                <w:szCs w:val="22"/>
              </w:rPr>
            </w:pPr>
            <w:r w:rsidRPr="00900AF1">
              <w:rPr>
                <w:rFonts w:ascii="Arial" w:hAnsi="Arial" w:cs="Arial"/>
                <w:sz w:val="22"/>
                <w:szCs w:val="22"/>
              </w:rPr>
              <w:t>New York (Brooklyn) NY</w:t>
            </w:r>
          </w:p>
        </w:tc>
        <w:tc>
          <w:tcPr>
            <w:tcW w:w="1170" w:type="dxa"/>
            <w:tcBorders>
              <w:right w:val="single" w:sz="4" w:space="0" w:color="auto"/>
            </w:tcBorders>
          </w:tcPr>
          <w:p w14:paraId="7E964C65" w14:textId="3DBE788C" w:rsidR="00900AF1" w:rsidRPr="00900AF1" w:rsidRDefault="00900AF1" w:rsidP="00900AF1">
            <w:pPr>
              <w:rPr>
                <w:rFonts w:ascii="Arial" w:hAnsi="Arial" w:cs="Arial"/>
                <w:sz w:val="22"/>
                <w:szCs w:val="22"/>
              </w:rPr>
            </w:pPr>
            <w:r w:rsidRPr="00900AF1">
              <w:rPr>
                <w:rFonts w:ascii="Arial" w:hAnsi="Arial" w:cs="Arial"/>
                <w:sz w:val="22"/>
                <w:szCs w:val="22"/>
              </w:rPr>
              <w:t xml:space="preserve"> $29.40 </w:t>
            </w:r>
          </w:p>
        </w:tc>
        <w:tc>
          <w:tcPr>
            <w:tcW w:w="1080" w:type="dxa"/>
            <w:tcBorders>
              <w:left w:val="single" w:sz="4" w:space="0" w:color="auto"/>
            </w:tcBorders>
            <w:vAlign w:val="center"/>
          </w:tcPr>
          <w:p w14:paraId="66FDCA95"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3</w:t>
            </w:r>
          </w:p>
        </w:tc>
        <w:tc>
          <w:tcPr>
            <w:tcW w:w="2700" w:type="dxa"/>
            <w:shd w:val="clear" w:color="auto" w:fill="auto"/>
          </w:tcPr>
          <w:p w14:paraId="315194C4" w14:textId="1205B153" w:rsidR="00900AF1" w:rsidRPr="00900AF1" w:rsidRDefault="00900AF1" w:rsidP="00900AF1">
            <w:pPr>
              <w:rPr>
                <w:rFonts w:ascii="Arial" w:hAnsi="Arial" w:cs="Arial"/>
                <w:sz w:val="22"/>
                <w:szCs w:val="22"/>
              </w:rPr>
            </w:pPr>
            <w:r w:rsidRPr="00900AF1">
              <w:rPr>
                <w:rFonts w:ascii="Arial" w:hAnsi="Arial" w:cs="Arial"/>
                <w:sz w:val="22"/>
                <w:szCs w:val="22"/>
              </w:rPr>
              <w:t>Dublin-Laurens County GA</w:t>
            </w:r>
          </w:p>
        </w:tc>
        <w:tc>
          <w:tcPr>
            <w:tcW w:w="1161" w:type="dxa"/>
          </w:tcPr>
          <w:p w14:paraId="21C4E67E" w14:textId="41C2442E" w:rsidR="00900AF1" w:rsidRPr="00900AF1" w:rsidRDefault="00900AF1" w:rsidP="00900AF1">
            <w:pPr>
              <w:rPr>
                <w:rFonts w:ascii="Arial" w:hAnsi="Arial" w:cs="Arial"/>
                <w:sz w:val="22"/>
                <w:szCs w:val="22"/>
              </w:rPr>
            </w:pPr>
            <w:r w:rsidRPr="00900AF1">
              <w:rPr>
                <w:rFonts w:ascii="Arial" w:hAnsi="Arial" w:cs="Arial"/>
                <w:sz w:val="22"/>
                <w:szCs w:val="22"/>
              </w:rPr>
              <w:t xml:space="preserve"> $7.50 </w:t>
            </w:r>
          </w:p>
        </w:tc>
      </w:tr>
      <w:tr w:rsidR="00900AF1" w:rsidRPr="00900AF1" w14:paraId="0907FF33" w14:textId="77777777" w:rsidTr="006E189E">
        <w:trPr>
          <w:trHeight w:val="290"/>
          <w:jc w:val="center"/>
        </w:trPr>
        <w:tc>
          <w:tcPr>
            <w:tcW w:w="1079" w:type="dxa"/>
            <w:vAlign w:val="center"/>
          </w:tcPr>
          <w:p w14:paraId="21BAD86C"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4</w:t>
            </w:r>
          </w:p>
        </w:tc>
        <w:tc>
          <w:tcPr>
            <w:tcW w:w="3151" w:type="dxa"/>
          </w:tcPr>
          <w:p w14:paraId="180D77C9" w14:textId="12A8E020" w:rsidR="00900AF1" w:rsidRPr="00900AF1" w:rsidRDefault="00900AF1" w:rsidP="00900AF1">
            <w:pPr>
              <w:rPr>
                <w:rFonts w:ascii="Arial" w:hAnsi="Arial" w:cs="Arial"/>
                <w:sz w:val="22"/>
                <w:szCs w:val="22"/>
              </w:rPr>
            </w:pPr>
            <w:r w:rsidRPr="00900AF1">
              <w:rPr>
                <w:rFonts w:ascii="Arial" w:hAnsi="Arial" w:cs="Arial"/>
                <w:sz w:val="22"/>
                <w:szCs w:val="22"/>
              </w:rPr>
              <w:t>Boston MA</w:t>
            </w:r>
          </w:p>
        </w:tc>
        <w:tc>
          <w:tcPr>
            <w:tcW w:w="1170" w:type="dxa"/>
            <w:tcBorders>
              <w:right w:val="single" w:sz="4" w:space="0" w:color="auto"/>
            </w:tcBorders>
          </w:tcPr>
          <w:p w14:paraId="57B9179C" w14:textId="1ECE4C87" w:rsidR="00900AF1" w:rsidRPr="00900AF1" w:rsidRDefault="00900AF1" w:rsidP="00900AF1">
            <w:pPr>
              <w:rPr>
                <w:rFonts w:ascii="Arial" w:hAnsi="Arial" w:cs="Arial"/>
                <w:sz w:val="22"/>
                <w:szCs w:val="22"/>
              </w:rPr>
            </w:pPr>
            <w:r w:rsidRPr="00900AF1">
              <w:rPr>
                <w:rFonts w:ascii="Arial" w:hAnsi="Arial" w:cs="Arial"/>
                <w:sz w:val="22"/>
                <w:szCs w:val="22"/>
              </w:rPr>
              <w:t xml:space="preserve"> $29.33 </w:t>
            </w:r>
          </w:p>
        </w:tc>
        <w:tc>
          <w:tcPr>
            <w:tcW w:w="1080" w:type="dxa"/>
            <w:tcBorders>
              <w:left w:val="single" w:sz="4" w:space="0" w:color="auto"/>
            </w:tcBorders>
            <w:vAlign w:val="center"/>
          </w:tcPr>
          <w:p w14:paraId="72CBA159" w14:textId="77777777" w:rsidR="00900AF1" w:rsidRPr="00900AF1" w:rsidRDefault="00900AF1" w:rsidP="00900AF1">
            <w:pPr>
              <w:autoSpaceDE w:val="0"/>
              <w:autoSpaceDN w:val="0"/>
              <w:adjustRightInd w:val="0"/>
              <w:jc w:val="center"/>
              <w:rPr>
                <w:rFonts w:ascii="Arial" w:hAnsi="Arial" w:cs="Arial"/>
                <w:sz w:val="22"/>
                <w:szCs w:val="22"/>
              </w:rPr>
            </w:pPr>
            <w:r w:rsidRPr="00900AF1">
              <w:rPr>
                <w:rFonts w:ascii="Arial" w:hAnsi="Arial" w:cs="Arial"/>
                <w:sz w:val="22"/>
                <w:szCs w:val="22"/>
              </w:rPr>
              <w:t>4</w:t>
            </w:r>
          </w:p>
        </w:tc>
        <w:tc>
          <w:tcPr>
            <w:tcW w:w="2700" w:type="dxa"/>
            <w:shd w:val="clear" w:color="auto" w:fill="auto"/>
          </w:tcPr>
          <w:p w14:paraId="08F9BFD5" w14:textId="1B831549" w:rsidR="00900AF1" w:rsidRPr="00900AF1" w:rsidRDefault="00900AF1" w:rsidP="00900AF1">
            <w:pPr>
              <w:rPr>
                <w:rFonts w:ascii="Arial" w:hAnsi="Arial" w:cs="Arial"/>
                <w:sz w:val="22"/>
                <w:szCs w:val="22"/>
              </w:rPr>
            </w:pPr>
            <w:r w:rsidRPr="00900AF1">
              <w:rPr>
                <w:rFonts w:ascii="Arial" w:hAnsi="Arial" w:cs="Arial"/>
                <w:sz w:val="22"/>
                <w:szCs w:val="22"/>
              </w:rPr>
              <w:t>Minot ND</w:t>
            </w:r>
          </w:p>
        </w:tc>
        <w:tc>
          <w:tcPr>
            <w:tcW w:w="1161" w:type="dxa"/>
          </w:tcPr>
          <w:p w14:paraId="70410274" w14:textId="29B61777" w:rsidR="00900AF1" w:rsidRPr="00900AF1" w:rsidRDefault="00900AF1" w:rsidP="00900AF1">
            <w:pPr>
              <w:rPr>
                <w:rFonts w:ascii="Arial" w:hAnsi="Arial" w:cs="Arial"/>
                <w:sz w:val="22"/>
                <w:szCs w:val="22"/>
              </w:rPr>
            </w:pPr>
            <w:r w:rsidRPr="00900AF1">
              <w:rPr>
                <w:rFonts w:ascii="Arial" w:hAnsi="Arial" w:cs="Arial"/>
                <w:sz w:val="22"/>
                <w:szCs w:val="22"/>
              </w:rPr>
              <w:t xml:space="preserve"> $7.50 </w:t>
            </w:r>
          </w:p>
        </w:tc>
      </w:tr>
      <w:tr w:rsidR="00900AF1" w:rsidRPr="00900AF1" w14:paraId="43B165D9" w14:textId="77777777" w:rsidTr="006E189E">
        <w:trPr>
          <w:trHeight w:val="290"/>
          <w:jc w:val="center"/>
        </w:trPr>
        <w:tc>
          <w:tcPr>
            <w:tcW w:w="1079" w:type="dxa"/>
            <w:vAlign w:val="center"/>
          </w:tcPr>
          <w:p w14:paraId="12D6001A" w14:textId="77777777" w:rsidR="00900AF1" w:rsidRPr="00900AF1" w:rsidRDefault="00900AF1" w:rsidP="00900AF1">
            <w:pPr>
              <w:autoSpaceDE w:val="0"/>
              <w:autoSpaceDN w:val="0"/>
              <w:adjustRightInd w:val="0"/>
              <w:jc w:val="center"/>
              <w:rPr>
                <w:rFonts w:ascii="Arial" w:hAnsi="Arial" w:cs="Arial"/>
                <w:color w:val="000000"/>
                <w:sz w:val="22"/>
                <w:szCs w:val="22"/>
              </w:rPr>
            </w:pPr>
            <w:r w:rsidRPr="00900AF1">
              <w:rPr>
                <w:rFonts w:ascii="Arial" w:hAnsi="Arial" w:cs="Arial"/>
                <w:color w:val="000000"/>
                <w:sz w:val="22"/>
                <w:szCs w:val="22"/>
              </w:rPr>
              <w:t>5</w:t>
            </w:r>
          </w:p>
        </w:tc>
        <w:tc>
          <w:tcPr>
            <w:tcW w:w="3151" w:type="dxa"/>
          </w:tcPr>
          <w:p w14:paraId="36CE9E3E" w14:textId="7C6623D0" w:rsidR="00900AF1" w:rsidRPr="00900AF1" w:rsidRDefault="00900AF1" w:rsidP="00900AF1">
            <w:pPr>
              <w:rPr>
                <w:rFonts w:ascii="Arial" w:hAnsi="Arial" w:cs="Arial"/>
                <w:sz w:val="22"/>
                <w:szCs w:val="22"/>
              </w:rPr>
            </w:pPr>
            <w:r w:rsidRPr="00900AF1">
              <w:rPr>
                <w:rFonts w:ascii="Arial" w:hAnsi="Arial" w:cs="Arial"/>
                <w:sz w:val="22"/>
                <w:szCs w:val="22"/>
              </w:rPr>
              <w:t>Westminster CO</w:t>
            </w:r>
          </w:p>
        </w:tc>
        <w:tc>
          <w:tcPr>
            <w:tcW w:w="1170" w:type="dxa"/>
            <w:tcBorders>
              <w:right w:val="single" w:sz="4" w:space="0" w:color="auto"/>
            </w:tcBorders>
          </w:tcPr>
          <w:p w14:paraId="2F997E3A" w14:textId="0CD412BB" w:rsidR="00900AF1" w:rsidRPr="00900AF1" w:rsidRDefault="00900AF1" w:rsidP="00900AF1">
            <w:pPr>
              <w:rPr>
                <w:rFonts w:ascii="Arial" w:hAnsi="Arial" w:cs="Arial"/>
                <w:sz w:val="22"/>
                <w:szCs w:val="22"/>
              </w:rPr>
            </w:pPr>
            <w:r w:rsidRPr="00900AF1">
              <w:rPr>
                <w:rFonts w:ascii="Arial" w:hAnsi="Arial" w:cs="Arial"/>
                <w:sz w:val="22"/>
                <w:szCs w:val="22"/>
              </w:rPr>
              <w:t xml:space="preserve"> $29.17 </w:t>
            </w:r>
          </w:p>
        </w:tc>
        <w:tc>
          <w:tcPr>
            <w:tcW w:w="1080" w:type="dxa"/>
            <w:tcBorders>
              <w:left w:val="single" w:sz="4" w:space="0" w:color="auto"/>
            </w:tcBorders>
          </w:tcPr>
          <w:p w14:paraId="2E8C3869" w14:textId="77777777" w:rsidR="00900AF1" w:rsidRPr="00900AF1" w:rsidRDefault="00900AF1" w:rsidP="00900AF1">
            <w:pPr>
              <w:autoSpaceDE w:val="0"/>
              <w:autoSpaceDN w:val="0"/>
              <w:adjustRightInd w:val="0"/>
              <w:jc w:val="center"/>
              <w:rPr>
                <w:rFonts w:ascii="Arial" w:hAnsi="Arial" w:cs="Arial"/>
                <w:color w:val="000000"/>
                <w:sz w:val="22"/>
                <w:szCs w:val="22"/>
              </w:rPr>
            </w:pPr>
            <w:r w:rsidRPr="00900AF1">
              <w:rPr>
                <w:rFonts w:ascii="Arial" w:hAnsi="Arial" w:cs="Arial"/>
                <w:color w:val="000000"/>
                <w:sz w:val="22"/>
                <w:szCs w:val="22"/>
              </w:rPr>
              <w:t>5</w:t>
            </w:r>
          </w:p>
        </w:tc>
        <w:tc>
          <w:tcPr>
            <w:tcW w:w="2700" w:type="dxa"/>
            <w:shd w:val="clear" w:color="auto" w:fill="auto"/>
          </w:tcPr>
          <w:p w14:paraId="545CD69B" w14:textId="0483CCFB" w:rsidR="00900AF1" w:rsidRPr="00900AF1" w:rsidRDefault="00900AF1" w:rsidP="00900AF1">
            <w:pPr>
              <w:rPr>
                <w:rFonts w:ascii="Arial" w:hAnsi="Arial" w:cs="Arial"/>
                <w:sz w:val="22"/>
                <w:szCs w:val="22"/>
              </w:rPr>
            </w:pPr>
            <w:r w:rsidRPr="00900AF1">
              <w:rPr>
                <w:rFonts w:ascii="Arial" w:hAnsi="Arial" w:cs="Arial"/>
                <w:sz w:val="22"/>
                <w:szCs w:val="22"/>
              </w:rPr>
              <w:t>Tyler TX</w:t>
            </w:r>
          </w:p>
        </w:tc>
        <w:tc>
          <w:tcPr>
            <w:tcW w:w="1161" w:type="dxa"/>
          </w:tcPr>
          <w:p w14:paraId="08A1D692" w14:textId="581FC8DE" w:rsidR="00900AF1" w:rsidRPr="00900AF1" w:rsidRDefault="00900AF1" w:rsidP="00900AF1">
            <w:pPr>
              <w:rPr>
                <w:rFonts w:ascii="Arial" w:hAnsi="Arial" w:cs="Arial"/>
                <w:sz w:val="22"/>
                <w:szCs w:val="22"/>
              </w:rPr>
            </w:pPr>
            <w:r w:rsidRPr="00900AF1">
              <w:rPr>
                <w:rFonts w:ascii="Arial" w:hAnsi="Arial" w:cs="Arial"/>
                <w:sz w:val="22"/>
                <w:szCs w:val="22"/>
              </w:rPr>
              <w:t xml:space="preserve"> $9.72 </w:t>
            </w:r>
          </w:p>
        </w:tc>
      </w:tr>
    </w:tbl>
    <w:p w14:paraId="079D0243" w14:textId="77777777" w:rsidR="00FA4BE9" w:rsidRPr="00900AF1" w:rsidRDefault="00FA4BE9">
      <w:pPr>
        <w:rPr>
          <w:rFonts w:ascii="Arial" w:hAnsi="Arial" w:cs="Arial"/>
          <w:sz w:val="22"/>
          <w:szCs w:val="22"/>
        </w:rPr>
      </w:pPr>
    </w:p>
    <w:p w14:paraId="2D6C824F" w14:textId="6BFDDF50" w:rsidR="00963BE0" w:rsidRPr="00F36169" w:rsidRDefault="00963BE0" w:rsidP="00963BE0">
      <w:pPr>
        <w:tabs>
          <w:tab w:val="left" w:pos="-180"/>
        </w:tabs>
        <w:rPr>
          <w:rFonts w:ascii="Arial" w:hAnsi="Arial" w:cs="Arial"/>
          <w:kern w:val="20"/>
          <w:sz w:val="21"/>
          <w:szCs w:val="21"/>
        </w:rPr>
      </w:pPr>
      <w:r w:rsidRPr="005F14BE">
        <w:rPr>
          <w:rFonts w:ascii="Arial" w:hAnsi="Arial" w:cs="Arial"/>
          <w:kern w:val="20"/>
          <w:sz w:val="21"/>
          <w:szCs w:val="21"/>
        </w:rPr>
        <w:t>The quarterly Cost of Living Index is available by subscription for $1</w:t>
      </w:r>
      <w:r w:rsidR="00996320">
        <w:rPr>
          <w:rFonts w:ascii="Arial" w:hAnsi="Arial" w:cs="Arial"/>
          <w:kern w:val="20"/>
          <w:sz w:val="21"/>
          <w:szCs w:val="21"/>
        </w:rPr>
        <w:t>90</w:t>
      </w:r>
      <w:r w:rsidRPr="005F14BE">
        <w:rPr>
          <w:rFonts w:ascii="Arial" w:hAnsi="Arial" w:cs="Arial"/>
          <w:kern w:val="20"/>
          <w:sz w:val="21"/>
          <w:szCs w:val="21"/>
        </w:rPr>
        <w:t xml:space="preserve"> per year </w:t>
      </w:r>
      <w:r w:rsidR="00DA1EB0" w:rsidRPr="005F14BE">
        <w:rPr>
          <w:rFonts w:ascii="Arial" w:hAnsi="Arial" w:cs="Arial"/>
          <w:kern w:val="20"/>
          <w:sz w:val="21"/>
          <w:szCs w:val="21"/>
        </w:rPr>
        <w:t>for the print version and $1</w:t>
      </w:r>
      <w:r w:rsidR="00996320">
        <w:rPr>
          <w:rFonts w:ascii="Arial" w:hAnsi="Arial" w:cs="Arial"/>
          <w:kern w:val="20"/>
          <w:sz w:val="21"/>
          <w:szCs w:val="21"/>
        </w:rPr>
        <w:t>80</w:t>
      </w:r>
      <w:r w:rsidR="001D2BC2" w:rsidRPr="005F14BE">
        <w:rPr>
          <w:rFonts w:ascii="Arial" w:hAnsi="Arial" w:cs="Arial"/>
          <w:kern w:val="20"/>
          <w:sz w:val="21"/>
          <w:szCs w:val="21"/>
        </w:rPr>
        <w:t xml:space="preserve"> per year for the PDF.  The electronic version is available for</w:t>
      </w:r>
      <w:r w:rsidRPr="005F14BE">
        <w:rPr>
          <w:rFonts w:ascii="Arial" w:hAnsi="Arial" w:cs="Arial"/>
          <w:kern w:val="20"/>
          <w:sz w:val="21"/>
          <w:szCs w:val="21"/>
        </w:rPr>
        <w:t xml:space="preserve"> $</w:t>
      </w:r>
      <w:r w:rsidR="00996320">
        <w:rPr>
          <w:rFonts w:ascii="Arial" w:hAnsi="Arial" w:cs="Arial"/>
          <w:kern w:val="20"/>
          <w:sz w:val="21"/>
          <w:szCs w:val="21"/>
        </w:rPr>
        <w:t>300</w:t>
      </w:r>
      <w:r w:rsidRPr="005F14BE">
        <w:rPr>
          <w:rFonts w:ascii="Arial" w:hAnsi="Arial" w:cs="Arial"/>
          <w:kern w:val="20"/>
          <w:sz w:val="21"/>
          <w:szCs w:val="21"/>
        </w:rPr>
        <w:t xml:space="preserve"> per year</w:t>
      </w:r>
      <w:r w:rsidR="001D2BC2" w:rsidRPr="005F14BE">
        <w:rPr>
          <w:rFonts w:ascii="Arial" w:hAnsi="Arial" w:cs="Arial"/>
          <w:kern w:val="20"/>
          <w:sz w:val="21"/>
          <w:szCs w:val="21"/>
        </w:rPr>
        <w:t>.</w:t>
      </w:r>
      <w:r w:rsidRPr="005F14BE">
        <w:rPr>
          <w:rFonts w:ascii="Arial" w:hAnsi="Arial" w:cs="Arial"/>
          <w:kern w:val="20"/>
          <w:sz w:val="21"/>
          <w:szCs w:val="21"/>
        </w:rPr>
        <w:t xml:space="preserve"> </w:t>
      </w:r>
      <w:r w:rsidR="00C15F8D" w:rsidRPr="005F14BE">
        <w:rPr>
          <w:rFonts w:ascii="Arial" w:hAnsi="Arial" w:cs="Arial"/>
          <w:kern w:val="20"/>
          <w:sz w:val="21"/>
          <w:szCs w:val="21"/>
        </w:rPr>
        <w:t xml:space="preserve">Be sure and ask about our </w:t>
      </w:r>
      <w:r w:rsidR="00645B24" w:rsidRPr="005F14BE">
        <w:rPr>
          <w:rFonts w:ascii="Arial" w:hAnsi="Arial" w:cs="Arial"/>
          <w:kern w:val="20"/>
          <w:sz w:val="21"/>
          <w:szCs w:val="21"/>
        </w:rPr>
        <w:t>E</w:t>
      </w:r>
      <w:r w:rsidR="00C15F8D" w:rsidRPr="005F14BE">
        <w:rPr>
          <w:rFonts w:ascii="Arial" w:hAnsi="Arial" w:cs="Arial"/>
          <w:kern w:val="20"/>
          <w:sz w:val="21"/>
          <w:szCs w:val="21"/>
        </w:rPr>
        <w:t xml:space="preserve">xpanded </w:t>
      </w:r>
      <w:r w:rsidR="00645B24" w:rsidRPr="005F14BE">
        <w:rPr>
          <w:rFonts w:ascii="Arial" w:hAnsi="Arial" w:cs="Arial"/>
          <w:kern w:val="20"/>
          <w:sz w:val="21"/>
          <w:szCs w:val="21"/>
        </w:rPr>
        <w:t>Excel</w:t>
      </w:r>
      <w:r w:rsidR="00C15F8D" w:rsidRPr="005F14BE">
        <w:rPr>
          <w:rFonts w:ascii="Arial" w:hAnsi="Arial" w:cs="Arial"/>
          <w:kern w:val="20"/>
          <w:sz w:val="21"/>
          <w:szCs w:val="21"/>
        </w:rPr>
        <w:t xml:space="preserve"> version</w:t>
      </w:r>
      <w:r w:rsidR="00645B24" w:rsidRPr="005F14BE">
        <w:rPr>
          <w:rFonts w:ascii="Arial" w:hAnsi="Arial" w:cs="Arial"/>
          <w:kern w:val="20"/>
          <w:sz w:val="21"/>
          <w:szCs w:val="21"/>
        </w:rPr>
        <w:t xml:space="preserve"> which covers more household and income types</w:t>
      </w:r>
      <w:r w:rsidR="00C15F8D" w:rsidRPr="005F14BE">
        <w:rPr>
          <w:rFonts w:ascii="Arial" w:hAnsi="Arial" w:cs="Arial"/>
          <w:kern w:val="20"/>
          <w:sz w:val="21"/>
          <w:szCs w:val="21"/>
        </w:rPr>
        <w:t xml:space="preserve">. </w:t>
      </w:r>
      <w:r w:rsidRPr="005F14BE">
        <w:rPr>
          <w:rFonts w:ascii="Arial" w:hAnsi="Arial" w:cs="Arial"/>
          <w:kern w:val="20"/>
          <w:sz w:val="21"/>
          <w:szCs w:val="21"/>
        </w:rPr>
        <w:t xml:space="preserve">Send check, payable to C2ER, P.O. Box </w:t>
      </w:r>
      <w:r w:rsidR="0066226D" w:rsidRPr="005F14BE">
        <w:rPr>
          <w:rFonts w:ascii="Arial" w:hAnsi="Arial" w:cs="Arial"/>
          <w:kern w:val="20"/>
          <w:sz w:val="21"/>
          <w:szCs w:val="21"/>
        </w:rPr>
        <w:t>12546</w:t>
      </w:r>
      <w:r w:rsidRPr="005F14BE">
        <w:rPr>
          <w:rFonts w:ascii="Arial" w:hAnsi="Arial" w:cs="Arial"/>
          <w:kern w:val="20"/>
          <w:sz w:val="21"/>
          <w:szCs w:val="21"/>
        </w:rPr>
        <w:t>, Arlington VA 222</w:t>
      </w:r>
      <w:r w:rsidR="0066226D" w:rsidRPr="005F14BE">
        <w:rPr>
          <w:rFonts w:ascii="Arial" w:hAnsi="Arial" w:cs="Arial"/>
          <w:kern w:val="20"/>
          <w:sz w:val="21"/>
          <w:szCs w:val="21"/>
        </w:rPr>
        <w:t>09</w:t>
      </w:r>
      <w:r w:rsidRPr="005F14BE">
        <w:rPr>
          <w:rFonts w:ascii="Arial" w:hAnsi="Arial" w:cs="Arial"/>
          <w:kern w:val="20"/>
          <w:sz w:val="21"/>
          <w:szCs w:val="21"/>
        </w:rPr>
        <w:t xml:space="preserve">, or subscribe on the Internet at </w:t>
      </w:r>
      <w:hyperlink r:id="rId12" w:history="1">
        <w:r w:rsidRPr="00F36169">
          <w:rPr>
            <w:rStyle w:val="Hyperlink"/>
            <w:rFonts w:ascii="Arial" w:hAnsi="Arial" w:cs="Arial"/>
            <w:kern w:val="20"/>
            <w:sz w:val="21"/>
            <w:szCs w:val="21"/>
          </w:rPr>
          <w:t>www.coli.org</w:t>
        </w:r>
      </w:hyperlink>
      <w:r w:rsidRPr="00F36169">
        <w:rPr>
          <w:rFonts w:ascii="Arial" w:hAnsi="Arial" w:cs="Arial"/>
          <w:kern w:val="20"/>
          <w:sz w:val="21"/>
          <w:szCs w:val="21"/>
        </w:rPr>
        <w:t>.</w:t>
      </w:r>
    </w:p>
    <w:p w14:paraId="36CFCC7E" w14:textId="77777777" w:rsidR="00591754" w:rsidRPr="00F36169" w:rsidRDefault="00591754" w:rsidP="001D2BC2">
      <w:pPr>
        <w:tabs>
          <w:tab w:val="left" w:pos="-180"/>
        </w:tabs>
        <w:rPr>
          <w:rFonts w:ascii="Arial" w:hAnsi="Arial" w:cs="Arial"/>
          <w:kern w:val="20"/>
          <w:sz w:val="21"/>
          <w:szCs w:val="21"/>
        </w:rPr>
      </w:pPr>
    </w:p>
    <w:p w14:paraId="5CE4D5AA" w14:textId="579786B0" w:rsidR="0005632C" w:rsidRPr="0005632C" w:rsidRDefault="00963BE0" w:rsidP="37CD68E1">
      <w:pPr>
        <w:rPr>
          <w:rFonts w:ascii="Arial" w:hAnsi="Arial" w:cs="Arial"/>
          <w:kern w:val="20"/>
          <w:sz w:val="21"/>
          <w:szCs w:val="21"/>
        </w:rPr>
      </w:pPr>
      <w:r w:rsidRPr="00F36169">
        <w:rPr>
          <w:rFonts w:ascii="Arial" w:hAnsi="Arial" w:cs="Arial"/>
          <w:kern w:val="20"/>
          <w:sz w:val="21"/>
          <w:szCs w:val="21"/>
        </w:rPr>
        <w:t xml:space="preserve">If you need additional information on the Cost of Living Index or other COLI-related products such as the COLI Web Calculator and the COLI Historical Index, </w:t>
      </w:r>
      <w:r w:rsidR="00962FC3" w:rsidRPr="00F36169">
        <w:rPr>
          <w:rFonts w:ascii="Arial" w:hAnsi="Arial" w:cs="Arial"/>
          <w:kern w:val="20"/>
          <w:sz w:val="21"/>
          <w:szCs w:val="21"/>
        </w:rPr>
        <w:t>please contact</w:t>
      </w:r>
      <w:r w:rsidRPr="00F36169">
        <w:rPr>
          <w:rFonts w:ascii="Arial" w:hAnsi="Arial" w:cs="Arial"/>
          <w:kern w:val="20"/>
          <w:sz w:val="21"/>
          <w:szCs w:val="21"/>
        </w:rPr>
        <w:t xml:space="preserve"> </w:t>
      </w:r>
      <w:r w:rsidR="00792435">
        <w:rPr>
          <w:rFonts w:ascii="Arial" w:hAnsi="Arial" w:cs="Arial"/>
          <w:kern w:val="20"/>
          <w:sz w:val="21"/>
          <w:szCs w:val="21"/>
        </w:rPr>
        <w:t xml:space="preserve">Tyler Baines at tbaines@crec.net </w:t>
      </w:r>
      <w:r w:rsidRPr="00F36169">
        <w:rPr>
          <w:rFonts w:ascii="Arial" w:hAnsi="Arial" w:cs="Arial"/>
          <w:kern w:val="20"/>
          <w:sz w:val="21"/>
          <w:szCs w:val="21"/>
        </w:rPr>
        <w:t>or by phone at 703-522-4980.</w:t>
      </w:r>
    </w:p>
    <w:sectPr w:rsidR="0005632C" w:rsidRPr="0005632C" w:rsidSect="00CA14F3">
      <w:footerReference w:type="default" r:id="rId13"/>
      <w:headerReference w:type="first" r:id="rId14"/>
      <w:footerReference w:type="first" r:id="rId15"/>
      <w:pgSz w:w="12240" w:h="15840"/>
      <w:pgMar w:top="51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6CD760" w14:textId="77777777" w:rsidR="00CA14F3" w:rsidRDefault="00CA14F3" w:rsidP="007A6F7E">
      <w:r>
        <w:separator/>
      </w:r>
    </w:p>
  </w:endnote>
  <w:endnote w:type="continuationSeparator" w:id="0">
    <w:p w14:paraId="307D1BAB" w14:textId="77777777" w:rsidR="00CA14F3" w:rsidRDefault="00CA14F3" w:rsidP="007A6F7E">
      <w:r>
        <w:continuationSeparator/>
      </w:r>
    </w:p>
  </w:endnote>
  <w:endnote w:type="continuationNotice" w:id="1">
    <w:p w14:paraId="42817495" w14:textId="77777777" w:rsidR="00CA14F3" w:rsidRDefault="00CA1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1FFFAE" w14:textId="77777777" w:rsidR="001F7FED" w:rsidRPr="00080804" w:rsidRDefault="001F7FED" w:rsidP="00080804">
    <w:pPr>
      <w:pStyle w:val="Footer"/>
      <w:jc w:val="center"/>
      <w:rPr>
        <w:rFonts w:ascii="Arial" w:hAnsi="Arial" w:cs="Arial"/>
      </w:rPr>
    </w:pPr>
    <w:r w:rsidRPr="00080804">
      <w:rPr>
        <w:rFonts w:ascii="Arial" w:hAnsi="Arial" w:cs="Arial"/>
      </w:rPr>
      <w:t>Page 2 of 2</w:t>
    </w:r>
  </w:p>
  <w:p w14:paraId="6DA087A8" w14:textId="77777777" w:rsidR="001F7FED" w:rsidRDefault="001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DBEEA" w14:textId="77777777" w:rsidR="001F7FED" w:rsidRPr="00080804" w:rsidRDefault="001F7FED" w:rsidP="00080804">
    <w:pPr>
      <w:pStyle w:val="Footer"/>
      <w:jc w:val="center"/>
      <w:rPr>
        <w:rFonts w:ascii="Arial" w:hAnsi="Arial" w:cs="Arial"/>
      </w:rPr>
    </w:pPr>
    <w:r w:rsidRPr="00080804">
      <w:rPr>
        <w:rFonts w:ascii="Arial" w:hAnsi="Arial" w:cs="Arial"/>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62406" w14:textId="77777777" w:rsidR="00CA14F3" w:rsidRDefault="00CA14F3" w:rsidP="007A6F7E">
      <w:r>
        <w:separator/>
      </w:r>
    </w:p>
  </w:footnote>
  <w:footnote w:type="continuationSeparator" w:id="0">
    <w:p w14:paraId="21C6AE6F" w14:textId="77777777" w:rsidR="00CA14F3" w:rsidRDefault="00CA14F3" w:rsidP="007A6F7E">
      <w:r>
        <w:continuationSeparator/>
      </w:r>
    </w:p>
  </w:footnote>
  <w:footnote w:type="continuationNotice" w:id="1">
    <w:p w14:paraId="580AE4EF" w14:textId="77777777" w:rsidR="00CA14F3" w:rsidRDefault="00CA1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3EC79" w14:textId="699124BB" w:rsidR="001F7FED" w:rsidRPr="00A5050F" w:rsidRDefault="6519ED05" w:rsidP="00A5050F">
    <w:pPr>
      <w:pStyle w:val="Header"/>
    </w:pPr>
    <w:r>
      <w:rPr>
        <w:noProof/>
      </w:rPr>
      <w:drawing>
        <wp:inline distT="0" distB="0" distL="0" distR="0" wp14:anchorId="27B66DD8" wp14:editId="7145FFF0">
          <wp:extent cx="36576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yMLcwNTcysDAxMjJS0lEKTi0uzszPAykwqgUApXSUIywAAAA="/>
  </w:docVars>
  <w:rsids>
    <w:rsidRoot w:val="008A3F4E"/>
    <w:rsid w:val="000014D4"/>
    <w:rsid w:val="00002DEA"/>
    <w:rsid w:val="0000329C"/>
    <w:rsid w:val="00003AAC"/>
    <w:rsid w:val="00005C39"/>
    <w:rsid w:val="000077BD"/>
    <w:rsid w:val="0001096D"/>
    <w:rsid w:val="00011B7B"/>
    <w:rsid w:val="000143F5"/>
    <w:rsid w:val="00021846"/>
    <w:rsid w:val="00023143"/>
    <w:rsid w:val="000268FF"/>
    <w:rsid w:val="00027F2C"/>
    <w:rsid w:val="00031D05"/>
    <w:rsid w:val="000334E8"/>
    <w:rsid w:val="0003432C"/>
    <w:rsid w:val="00035F9F"/>
    <w:rsid w:val="00036631"/>
    <w:rsid w:val="00037677"/>
    <w:rsid w:val="00037D12"/>
    <w:rsid w:val="00037EA1"/>
    <w:rsid w:val="00040209"/>
    <w:rsid w:val="0004197A"/>
    <w:rsid w:val="00042A46"/>
    <w:rsid w:val="000452C0"/>
    <w:rsid w:val="000461CE"/>
    <w:rsid w:val="00047AFD"/>
    <w:rsid w:val="000509C3"/>
    <w:rsid w:val="00054BB6"/>
    <w:rsid w:val="0005624F"/>
    <w:rsid w:val="0005632C"/>
    <w:rsid w:val="00056D88"/>
    <w:rsid w:val="00064AF9"/>
    <w:rsid w:val="00065F00"/>
    <w:rsid w:val="00067259"/>
    <w:rsid w:val="00067AF8"/>
    <w:rsid w:val="00072EAB"/>
    <w:rsid w:val="0007587E"/>
    <w:rsid w:val="00076449"/>
    <w:rsid w:val="00080804"/>
    <w:rsid w:val="00081387"/>
    <w:rsid w:val="000819A1"/>
    <w:rsid w:val="000824C2"/>
    <w:rsid w:val="00082CA4"/>
    <w:rsid w:val="0008740A"/>
    <w:rsid w:val="000976DD"/>
    <w:rsid w:val="000A17AC"/>
    <w:rsid w:val="000A63CB"/>
    <w:rsid w:val="000A70C0"/>
    <w:rsid w:val="000B0167"/>
    <w:rsid w:val="000B0C9A"/>
    <w:rsid w:val="000B5C0E"/>
    <w:rsid w:val="000B605C"/>
    <w:rsid w:val="000B6623"/>
    <w:rsid w:val="000B7724"/>
    <w:rsid w:val="000C474E"/>
    <w:rsid w:val="000C4A1A"/>
    <w:rsid w:val="000C4C69"/>
    <w:rsid w:val="000C5ACA"/>
    <w:rsid w:val="000C7CF6"/>
    <w:rsid w:val="000D06B9"/>
    <w:rsid w:val="000D0E49"/>
    <w:rsid w:val="000D23A9"/>
    <w:rsid w:val="000D30AA"/>
    <w:rsid w:val="000D4B5F"/>
    <w:rsid w:val="000E4617"/>
    <w:rsid w:val="000E6517"/>
    <w:rsid w:val="000F168D"/>
    <w:rsid w:val="000F49D1"/>
    <w:rsid w:val="000F4C95"/>
    <w:rsid w:val="000F5E78"/>
    <w:rsid w:val="0010309F"/>
    <w:rsid w:val="00113913"/>
    <w:rsid w:val="00113BBB"/>
    <w:rsid w:val="00115462"/>
    <w:rsid w:val="00115DAC"/>
    <w:rsid w:val="00123F38"/>
    <w:rsid w:val="0012555F"/>
    <w:rsid w:val="001301C2"/>
    <w:rsid w:val="0013348A"/>
    <w:rsid w:val="00137AF8"/>
    <w:rsid w:val="0014378D"/>
    <w:rsid w:val="00144568"/>
    <w:rsid w:val="001448BA"/>
    <w:rsid w:val="00144E81"/>
    <w:rsid w:val="00150C83"/>
    <w:rsid w:val="0015702A"/>
    <w:rsid w:val="0016145B"/>
    <w:rsid w:val="001622A6"/>
    <w:rsid w:val="00165AD7"/>
    <w:rsid w:val="00166AEA"/>
    <w:rsid w:val="00166DC3"/>
    <w:rsid w:val="00170737"/>
    <w:rsid w:val="0017178F"/>
    <w:rsid w:val="00180960"/>
    <w:rsid w:val="001814C7"/>
    <w:rsid w:val="00184CFD"/>
    <w:rsid w:val="001909FB"/>
    <w:rsid w:val="0019109B"/>
    <w:rsid w:val="00192AAC"/>
    <w:rsid w:val="001A003F"/>
    <w:rsid w:val="001A1863"/>
    <w:rsid w:val="001A5B92"/>
    <w:rsid w:val="001A6010"/>
    <w:rsid w:val="001B2EB5"/>
    <w:rsid w:val="001B62FC"/>
    <w:rsid w:val="001C379D"/>
    <w:rsid w:val="001C3EFC"/>
    <w:rsid w:val="001C746D"/>
    <w:rsid w:val="001C7D4A"/>
    <w:rsid w:val="001D0A31"/>
    <w:rsid w:val="001D2BC2"/>
    <w:rsid w:val="001D305B"/>
    <w:rsid w:val="001D683B"/>
    <w:rsid w:val="001E224A"/>
    <w:rsid w:val="001E4A08"/>
    <w:rsid w:val="001E4CEA"/>
    <w:rsid w:val="001E6349"/>
    <w:rsid w:val="001F42BC"/>
    <w:rsid w:val="001F7FED"/>
    <w:rsid w:val="00207C89"/>
    <w:rsid w:val="00213832"/>
    <w:rsid w:val="00213CEB"/>
    <w:rsid w:val="00227699"/>
    <w:rsid w:val="002313F6"/>
    <w:rsid w:val="002315F5"/>
    <w:rsid w:val="00231E81"/>
    <w:rsid w:val="0023266B"/>
    <w:rsid w:val="00233E55"/>
    <w:rsid w:val="00234D25"/>
    <w:rsid w:val="00235C03"/>
    <w:rsid w:val="0023649A"/>
    <w:rsid w:val="002408ED"/>
    <w:rsid w:val="00240FA4"/>
    <w:rsid w:val="00241BF8"/>
    <w:rsid w:val="00247994"/>
    <w:rsid w:val="00250165"/>
    <w:rsid w:val="00250844"/>
    <w:rsid w:val="00252928"/>
    <w:rsid w:val="00253FD3"/>
    <w:rsid w:val="002577A7"/>
    <w:rsid w:val="00257AFE"/>
    <w:rsid w:val="00261468"/>
    <w:rsid w:val="00262CD5"/>
    <w:rsid w:val="00267F77"/>
    <w:rsid w:val="00274AB6"/>
    <w:rsid w:val="002776DB"/>
    <w:rsid w:val="00277FB9"/>
    <w:rsid w:val="002801B8"/>
    <w:rsid w:val="002852E5"/>
    <w:rsid w:val="00286478"/>
    <w:rsid w:val="00292173"/>
    <w:rsid w:val="002922CF"/>
    <w:rsid w:val="002954EB"/>
    <w:rsid w:val="002A0A45"/>
    <w:rsid w:val="002A22E7"/>
    <w:rsid w:val="002A7C15"/>
    <w:rsid w:val="002B0221"/>
    <w:rsid w:val="002C05D5"/>
    <w:rsid w:val="002C1D30"/>
    <w:rsid w:val="002C369F"/>
    <w:rsid w:val="002C5100"/>
    <w:rsid w:val="002C6E66"/>
    <w:rsid w:val="002C79BC"/>
    <w:rsid w:val="002D20B3"/>
    <w:rsid w:val="002D2FEE"/>
    <w:rsid w:val="002D32B4"/>
    <w:rsid w:val="002D665C"/>
    <w:rsid w:val="002E1EC6"/>
    <w:rsid w:val="002E3192"/>
    <w:rsid w:val="002E3230"/>
    <w:rsid w:val="002E5C75"/>
    <w:rsid w:val="002E6350"/>
    <w:rsid w:val="002F2F21"/>
    <w:rsid w:val="002F3529"/>
    <w:rsid w:val="002F42F1"/>
    <w:rsid w:val="0030008B"/>
    <w:rsid w:val="0030022F"/>
    <w:rsid w:val="0030060D"/>
    <w:rsid w:val="00307278"/>
    <w:rsid w:val="003079A8"/>
    <w:rsid w:val="003105D5"/>
    <w:rsid w:val="00315065"/>
    <w:rsid w:val="00325ED1"/>
    <w:rsid w:val="00330609"/>
    <w:rsid w:val="00332FEC"/>
    <w:rsid w:val="00333D0A"/>
    <w:rsid w:val="00336AE3"/>
    <w:rsid w:val="0033782C"/>
    <w:rsid w:val="003412FF"/>
    <w:rsid w:val="003434B7"/>
    <w:rsid w:val="00344DF0"/>
    <w:rsid w:val="00345E22"/>
    <w:rsid w:val="0034682B"/>
    <w:rsid w:val="003548B4"/>
    <w:rsid w:val="003602FC"/>
    <w:rsid w:val="003633BA"/>
    <w:rsid w:val="003635DB"/>
    <w:rsid w:val="00366782"/>
    <w:rsid w:val="00371FCC"/>
    <w:rsid w:val="003731AE"/>
    <w:rsid w:val="003740C9"/>
    <w:rsid w:val="00374D46"/>
    <w:rsid w:val="00380AFB"/>
    <w:rsid w:val="003823ED"/>
    <w:rsid w:val="003869FB"/>
    <w:rsid w:val="0039189A"/>
    <w:rsid w:val="00394103"/>
    <w:rsid w:val="003949BB"/>
    <w:rsid w:val="003969AE"/>
    <w:rsid w:val="00397660"/>
    <w:rsid w:val="003A297A"/>
    <w:rsid w:val="003A432E"/>
    <w:rsid w:val="003A5E3A"/>
    <w:rsid w:val="003A69C0"/>
    <w:rsid w:val="003B1215"/>
    <w:rsid w:val="003B12E4"/>
    <w:rsid w:val="003B21F7"/>
    <w:rsid w:val="003B2F12"/>
    <w:rsid w:val="003B6473"/>
    <w:rsid w:val="003C092A"/>
    <w:rsid w:val="003C2BBD"/>
    <w:rsid w:val="003C49DD"/>
    <w:rsid w:val="003D413F"/>
    <w:rsid w:val="003D41AA"/>
    <w:rsid w:val="003E11B7"/>
    <w:rsid w:val="003E3C68"/>
    <w:rsid w:val="003F3389"/>
    <w:rsid w:val="003F486C"/>
    <w:rsid w:val="003F6F84"/>
    <w:rsid w:val="003F7D4A"/>
    <w:rsid w:val="00404235"/>
    <w:rsid w:val="004049CE"/>
    <w:rsid w:val="00404CF5"/>
    <w:rsid w:val="0040656D"/>
    <w:rsid w:val="00411D65"/>
    <w:rsid w:val="00413F14"/>
    <w:rsid w:val="00414702"/>
    <w:rsid w:val="0041620D"/>
    <w:rsid w:val="00424865"/>
    <w:rsid w:val="0043278D"/>
    <w:rsid w:val="00442C5E"/>
    <w:rsid w:val="00443428"/>
    <w:rsid w:val="00444082"/>
    <w:rsid w:val="00445F08"/>
    <w:rsid w:val="00460344"/>
    <w:rsid w:val="0046665E"/>
    <w:rsid w:val="00473C2B"/>
    <w:rsid w:val="00476525"/>
    <w:rsid w:val="00476B35"/>
    <w:rsid w:val="00481921"/>
    <w:rsid w:val="0048225D"/>
    <w:rsid w:val="00483250"/>
    <w:rsid w:val="004837A0"/>
    <w:rsid w:val="0049011C"/>
    <w:rsid w:val="00490DD4"/>
    <w:rsid w:val="0049125D"/>
    <w:rsid w:val="004923A4"/>
    <w:rsid w:val="0049363F"/>
    <w:rsid w:val="004954C1"/>
    <w:rsid w:val="004A7545"/>
    <w:rsid w:val="004C2B7A"/>
    <w:rsid w:val="004D0C1E"/>
    <w:rsid w:val="004D405E"/>
    <w:rsid w:val="004D40D9"/>
    <w:rsid w:val="004E0ACB"/>
    <w:rsid w:val="004E16BA"/>
    <w:rsid w:val="004E24D5"/>
    <w:rsid w:val="004E7FCD"/>
    <w:rsid w:val="004F06F0"/>
    <w:rsid w:val="004F0998"/>
    <w:rsid w:val="004F4939"/>
    <w:rsid w:val="004F4F6D"/>
    <w:rsid w:val="004F6D9E"/>
    <w:rsid w:val="00502B48"/>
    <w:rsid w:val="00506B2D"/>
    <w:rsid w:val="005116A8"/>
    <w:rsid w:val="0051645D"/>
    <w:rsid w:val="00516AE6"/>
    <w:rsid w:val="00516E84"/>
    <w:rsid w:val="00517CCC"/>
    <w:rsid w:val="00524DD8"/>
    <w:rsid w:val="00540266"/>
    <w:rsid w:val="005465DE"/>
    <w:rsid w:val="00550C9B"/>
    <w:rsid w:val="00555BB8"/>
    <w:rsid w:val="00560693"/>
    <w:rsid w:val="005648FC"/>
    <w:rsid w:val="00564EC6"/>
    <w:rsid w:val="0056566E"/>
    <w:rsid w:val="00570073"/>
    <w:rsid w:val="00571140"/>
    <w:rsid w:val="00571AF7"/>
    <w:rsid w:val="00573126"/>
    <w:rsid w:val="005760E1"/>
    <w:rsid w:val="005808CA"/>
    <w:rsid w:val="00582A8D"/>
    <w:rsid w:val="0058370B"/>
    <w:rsid w:val="00584701"/>
    <w:rsid w:val="00591754"/>
    <w:rsid w:val="0059176F"/>
    <w:rsid w:val="0059275D"/>
    <w:rsid w:val="005A0968"/>
    <w:rsid w:val="005A0A92"/>
    <w:rsid w:val="005A254F"/>
    <w:rsid w:val="005A5110"/>
    <w:rsid w:val="005A5534"/>
    <w:rsid w:val="005B1DEE"/>
    <w:rsid w:val="005B4F97"/>
    <w:rsid w:val="005B74C9"/>
    <w:rsid w:val="005B7BAD"/>
    <w:rsid w:val="005C1962"/>
    <w:rsid w:val="005C1A9C"/>
    <w:rsid w:val="005C2211"/>
    <w:rsid w:val="005E56ED"/>
    <w:rsid w:val="005E6FBC"/>
    <w:rsid w:val="005E7244"/>
    <w:rsid w:val="005F14BE"/>
    <w:rsid w:val="00601FA1"/>
    <w:rsid w:val="006034DE"/>
    <w:rsid w:val="00603808"/>
    <w:rsid w:val="00611CFC"/>
    <w:rsid w:val="00612473"/>
    <w:rsid w:val="00615B69"/>
    <w:rsid w:val="0061718E"/>
    <w:rsid w:val="00621ECC"/>
    <w:rsid w:val="006247F7"/>
    <w:rsid w:val="00626B43"/>
    <w:rsid w:val="006310CA"/>
    <w:rsid w:val="00632276"/>
    <w:rsid w:val="00632582"/>
    <w:rsid w:val="00632A43"/>
    <w:rsid w:val="00636909"/>
    <w:rsid w:val="0064097E"/>
    <w:rsid w:val="00644439"/>
    <w:rsid w:val="006455D0"/>
    <w:rsid w:val="00645B24"/>
    <w:rsid w:val="006465A2"/>
    <w:rsid w:val="00653444"/>
    <w:rsid w:val="006546BB"/>
    <w:rsid w:val="006550FF"/>
    <w:rsid w:val="006617C5"/>
    <w:rsid w:val="0066226D"/>
    <w:rsid w:val="00663CA4"/>
    <w:rsid w:val="00665B06"/>
    <w:rsid w:val="0066703A"/>
    <w:rsid w:val="006707CC"/>
    <w:rsid w:val="006716C3"/>
    <w:rsid w:val="00675598"/>
    <w:rsid w:val="00681323"/>
    <w:rsid w:val="00681C4E"/>
    <w:rsid w:val="00683F53"/>
    <w:rsid w:val="00685295"/>
    <w:rsid w:val="00687D1D"/>
    <w:rsid w:val="00690C20"/>
    <w:rsid w:val="00692EBE"/>
    <w:rsid w:val="00697E74"/>
    <w:rsid w:val="006A32CE"/>
    <w:rsid w:val="006A4F3E"/>
    <w:rsid w:val="006A72E8"/>
    <w:rsid w:val="006B0808"/>
    <w:rsid w:val="006B45C9"/>
    <w:rsid w:val="006C0783"/>
    <w:rsid w:val="006D0FFF"/>
    <w:rsid w:val="006D4CC7"/>
    <w:rsid w:val="006D71D8"/>
    <w:rsid w:val="006E00F4"/>
    <w:rsid w:val="006E0DDD"/>
    <w:rsid w:val="006E189E"/>
    <w:rsid w:val="006E5D3F"/>
    <w:rsid w:val="006E622B"/>
    <w:rsid w:val="006F1D25"/>
    <w:rsid w:val="006F1E01"/>
    <w:rsid w:val="006F21F4"/>
    <w:rsid w:val="006F3097"/>
    <w:rsid w:val="006F31AF"/>
    <w:rsid w:val="006F3A46"/>
    <w:rsid w:val="006F4E4A"/>
    <w:rsid w:val="006F5CBF"/>
    <w:rsid w:val="006F6E75"/>
    <w:rsid w:val="00704AD5"/>
    <w:rsid w:val="00704E80"/>
    <w:rsid w:val="00704EE9"/>
    <w:rsid w:val="0070558D"/>
    <w:rsid w:val="00705B7E"/>
    <w:rsid w:val="00706E36"/>
    <w:rsid w:val="00707DA8"/>
    <w:rsid w:val="00710880"/>
    <w:rsid w:val="00711D2A"/>
    <w:rsid w:val="00713A91"/>
    <w:rsid w:val="00713AD6"/>
    <w:rsid w:val="00714769"/>
    <w:rsid w:val="00716029"/>
    <w:rsid w:val="00717BF6"/>
    <w:rsid w:val="007226EE"/>
    <w:rsid w:val="00723FDB"/>
    <w:rsid w:val="00734146"/>
    <w:rsid w:val="0074005B"/>
    <w:rsid w:val="00740B98"/>
    <w:rsid w:val="00740E31"/>
    <w:rsid w:val="007432E4"/>
    <w:rsid w:val="00743AA4"/>
    <w:rsid w:val="00746C82"/>
    <w:rsid w:val="00746FF4"/>
    <w:rsid w:val="007507AB"/>
    <w:rsid w:val="00751311"/>
    <w:rsid w:val="007557CB"/>
    <w:rsid w:val="0076134C"/>
    <w:rsid w:val="00764380"/>
    <w:rsid w:val="00764B6B"/>
    <w:rsid w:val="00774F19"/>
    <w:rsid w:val="00780C29"/>
    <w:rsid w:val="007824D9"/>
    <w:rsid w:val="00785232"/>
    <w:rsid w:val="007855B5"/>
    <w:rsid w:val="007855F1"/>
    <w:rsid w:val="00786266"/>
    <w:rsid w:val="00786C12"/>
    <w:rsid w:val="007870E8"/>
    <w:rsid w:val="00791DF0"/>
    <w:rsid w:val="00792435"/>
    <w:rsid w:val="0079754A"/>
    <w:rsid w:val="007A3CCF"/>
    <w:rsid w:val="007A6F7E"/>
    <w:rsid w:val="007B21F4"/>
    <w:rsid w:val="007B2BB7"/>
    <w:rsid w:val="007B6475"/>
    <w:rsid w:val="007B76E6"/>
    <w:rsid w:val="007C0A97"/>
    <w:rsid w:val="007C0CAD"/>
    <w:rsid w:val="007C1168"/>
    <w:rsid w:val="007C2B09"/>
    <w:rsid w:val="007C3744"/>
    <w:rsid w:val="007C62B3"/>
    <w:rsid w:val="007C638D"/>
    <w:rsid w:val="007C7F66"/>
    <w:rsid w:val="007D0B35"/>
    <w:rsid w:val="007D2A5A"/>
    <w:rsid w:val="007D5C8A"/>
    <w:rsid w:val="007D7514"/>
    <w:rsid w:val="007D7EC1"/>
    <w:rsid w:val="007E2C5D"/>
    <w:rsid w:val="007F2646"/>
    <w:rsid w:val="007F349E"/>
    <w:rsid w:val="007F4ADE"/>
    <w:rsid w:val="007F54E5"/>
    <w:rsid w:val="0080477E"/>
    <w:rsid w:val="00804D3E"/>
    <w:rsid w:val="008065FB"/>
    <w:rsid w:val="00806AB8"/>
    <w:rsid w:val="00806C59"/>
    <w:rsid w:val="00825D63"/>
    <w:rsid w:val="008278BC"/>
    <w:rsid w:val="00827AA6"/>
    <w:rsid w:val="00832D1B"/>
    <w:rsid w:val="00833A13"/>
    <w:rsid w:val="00836559"/>
    <w:rsid w:val="00840016"/>
    <w:rsid w:val="00844602"/>
    <w:rsid w:val="00845981"/>
    <w:rsid w:val="0084625B"/>
    <w:rsid w:val="00846CD0"/>
    <w:rsid w:val="00851474"/>
    <w:rsid w:val="0086094A"/>
    <w:rsid w:val="00860A90"/>
    <w:rsid w:val="00861D79"/>
    <w:rsid w:val="00863BEC"/>
    <w:rsid w:val="0086534F"/>
    <w:rsid w:val="00867B7C"/>
    <w:rsid w:val="00874AA5"/>
    <w:rsid w:val="0087675A"/>
    <w:rsid w:val="0088056A"/>
    <w:rsid w:val="00882084"/>
    <w:rsid w:val="00883D0D"/>
    <w:rsid w:val="00885CD6"/>
    <w:rsid w:val="00887228"/>
    <w:rsid w:val="008876A9"/>
    <w:rsid w:val="008902D9"/>
    <w:rsid w:val="00890D9E"/>
    <w:rsid w:val="00894092"/>
    <w:rsid w:val="008958A9"/>
    <w:rsid w:val="008961E7"/>
    <w:rsid w:val="008A122F"/>
    <w:rsid w:val="008A3C12"/>
    <w:rsid w:val="008A3F4E"/>
    <w:rsid w:val="008A6EF4"/>
    <w:rsid w:val="008B6C21"/>
    <w:rsid w:val="008B763A"/>
    <w:rsid w:val="008C0D57"/>
    <w:rsid w:val="008C1595"/>
    <w:rsid w:val="008C7796"/>
    <w:rsid w:val="008D37E5"/>
    <w:rsid w:val="008D3C3C"/>
    <w:rsid w:val="008D54A4"/>
    <w:rsid w:val="008E02B2"/>
    <w:rsid w:val="008E4074"/>
    <w:rsid w:val="008E575D"/>
    <w:rsid w:val="008E707B"/>
    <w:rsid w:val="008F47EA"/>
    <w:rsid w:val="008F6241"/>
    <w:rsid w:val="008F783A"/>
    <w:rsid w:val="00900127"/>
    <w:rsid w:val="00900AF1"/>
    <w:rsid w:val="00901DA8"/>
    <w:rsid w:val="009024B7"/>
    <w:rsid w:val="009027F5"/>
    <w:rsid w:val="00906702"/>
    <w:rsid w:val="009122FA"/>
    <w:rsid w:val="0091332A"/>
    <w:rsid w:val="00916042"/>
    <w:rsid w:val="00916BA7"/>
    <w:rsid w:val="0092050E"/>
    <w:rsid w:val="009220A4"/>
    <w:rsid w:val="009228F3"/>
    <w:rsid w:val="009235CA"/>
    <w:rsid w:val="0092632F"/>
    <w:rsid w:val="009300F7"/>
    <w:rsid w:val="00931A97"/>
    <w:rsid w:val="00932108"/>
    <w:rsid w:val="00932BC5"/>
    <w:rsid w:val="00934D81"/>
    <w:rsid w:val="00940E3C"/>
    <w:rsid w:val="00941792"/>
    <w:rsid w:val="00943FAC"/>
    <w:rsid w:val="00945981"/>
    <w:rsid w:val="00950260"/>
    <w:rsid w:val="009505CC"/>
    <w:rsid w:val="00955C51"/>
    <w:rsid w:val="009564B1"/>
    <w:rsid w:val="00956F0C"/>
    <w:rsid w:val="009600C1"/>
    <w:rsid w:val="009601A9"/>
    <w:rsid w:val="00962FC3"/>
    <w:rsid w:val="00963BE0"/>
    <w:rsid w:val="009671D2"/>
    <w:rsid w:val="00972503"/>
    <w:rsid w:val="00973079"/>
    <w:rsid w:val="00973A3D"/>
    <w:rsid w:val="009756B2"/>
    <w:rsid w:val="00982ED1"/>
    <w:rsid w:val="00985D13"/>
    <w:rsid w:val="0098717F"/>
    <w:rsid w:val="00990440"/>
    <w:rsid w:val="00993728"/>
    <w:rsid w:val="00996238"/>
    <w:rsid w:val="00996320"/>
    <w:rsid w:val="009968EF"/>
    <w:rsid w:val="00997ED5"/>
    <w:rsid w:val="009A2A78"/>
    <w:rsid w:val="009A422F"/>
    <w:rsid w:val="009A69B0"/>
    <w:rsid w:val="009B364A"/>
    <w:rsid w:val="009B511C"/>
    <w:rsid w:val="009C213C"/>
    <w:rsid w:val="009C3A47"/>
    <w:rsid w:val="009C50B5"/>
    <w:rsid w:val="009C5CD7"/>
    <w:rsid w:val="009D02C9"/>
    <w:rsid w:val="009D0E08"/>
    <w:rsid w:val="009D33B7"/>
    <w:rsid w:val="009D36C7"/>
    <w:rsid w:val="009D3A5C"/>
    <w:rsid w:val="009D3F18"/>
    <w:rsid w:val="009D424A"/>
    <w:rsid w:val="009D5EC4"/>
    <w:rsid w:val="009E163D"/>
    <w:rsid w:val="009E26A5"/>
    <w:rsid w:val="009E323F"/>
    <w:rsid w:val="009E5B52"/>
    <w:rsid w:val="009F3029"/>
    <w:rsid w:val="009F7032"/>
    <w:rsid w:val="00A037FA"/>
    <w:rsid w:val="00A03B5B"/>
    <w:rsid w:val="00A07740"/>
    <w:rsid w:val="00A12687"/>
    <w:rsid w:val="00A15CAA"/>
    <w:rsid w:val="00A17125"/>
    <w:rsid w:val="00A20985"/>
    <w:rsid w:val="00A22CA8"/>
    <w:rsid w:val="00A272C3"/>
    <w:rsid w:val="00A27D96"/>
    <w:rsid w:val="00A30497"/>
    <w:rsid w:val="00A34479"/>
    <w:rsid w:val="00A353D1"/>
    <w:rsid w:val="00A375EE"/>
    <w:rsid w:val="00A40785"/>
    <w:rsid w:val="00A45C85"/>
    <w:rsid w:val="00A46829"/>
    <w:rsid w:val="00A5050F"/>
    <w:rsid w:val="00A5142D"/>
    <w:rsid w:val="00A57FB6"/>
    <w:rsid w:val="00A627F9"/>
    <w:rsid w:val="00A62EC4"/>
    <w:rsid w:val="00A63764"/>
    <w:rsid w:val="00A639C8"/>
    <w:rsid w:val="00A653F1"/>
    <w:rsid w:val="00A65DC0"/>
    <w:rsid w:val="00A66A19"/>
    <w:rsid w:val="00A66E60"/>
    <w:rsid w:val="00A66FDF"/>
    <w:rsid w:val="00A675D3"/>
    <w:rsid w:val="00A7168E"/>
    <w:rsid w:val="00A74A50"/>
    <w:rsid w:val="00A74B65"/>
    <w:rsid w:val="00A75CA9"/>
    <w:rsid w:val="00A81A07"/>
    <w:rsid w:val="00A86C94"/>
    <w:rsid w:val="00A87504"/>
    <w:rsid w:val="00A879F7"/>
    <w:rsid w:val="00A87F3F"/>
    <w:rsid w:val="00A90520"/>
    <w:rsid w:val="00A92D70"/>
    <w:rsid w:val="00A9772E"/>
    <w:rsid w:val="00AA082C"/>
    <w:rsid w:val="00AA6D8B"/>
    <w:rsid w:val="00AB0D62"/>
    <w:rsid w:val="00AB131D"/>
    <w:rsid w:val="00AB62D4"/>
    <w:rsid w:val="00AC25B8"/>
    <w:rsid w:val="00AC71EF"/>
    <w:rsid w:val="00AD4228"/>
    <w:rsid w:val="00AE09FF"/>
    <w:rsid w:val="00AE2BB9"/>
    <w:rsid w:val="00AE3344"/>
    <w:rsid w:val="00AF03F3"/>
    <w:rsid w:val="00AF117E"/>
    <w:rsid w:val="00AF2E02"/>
    <w:rsid w:val="00AF33C7"/>
    <w:rsid w:val="00AF377B"/>
    <w:rsid w:val="00AF3965"/>
    <w:rsid w:val="00AF44D6"/>
    <w:rsid w:val="00B02E20"/>
    <w:rsid w:val="00B0533E"/>
    <w:rsid w:val="00B05BD2"/>
    <w:rsid w:val="00B123DE"/>
    <w:rsid w:val="00B1436A"/>
    <w:rsid w:val="00B15F45"/>
    <w:rsid w:val="00B21805"/>
    <w:rsid w:val="00B23327"/>
    <w:rsid w:val="00B2506E"/>
    <w:rsid w:val="00B26348"/>
    <w:rsid w:val="00B268C5"/>
    <w:rsid w:val="00B27164"/>
    <w:rsid w:val="00B2750A"/>
    <w:rsid w:val="00B304F9"/>
    <w:rsid w:val="00B33741"/>
    <w:rsid w:val="00B34653"/>
    <w:rsid w:val="00B366AC"/>
    <w:rsid w:val="00B3737E"/>
    <w:rsid w:val="00B41067"/>
    <w:rsid w:val="00B42FF2"/>
    <w:rsid w:val="00B43CAC"/>
    <w:rsid w:val="00B50102"/>
    <w:rsid w:val="00B507DC"/>
    <w:rsid w:val="00B50834"/>
    <w:rsid w:val="00B51DE2"/>
    <w:rsid w:val="00B5431A"/>
    <w:rsid w:val="00B543B8"/>
    <w:rsid w:val="00B5554B"/>
    <w:rsid w:val="00B569DD"/>
    <w:rsid w:val="00B573AC"/>
    <w:rsid w:val="00B6326C"/>
    <w:rsid w:val="00B63476"/>
    <w:rsid w:val="00B64FF6"/>
    <w:rsid w:val="00B67AB9"/>
    <w:rsid w:val="00B71DB3"/>
    <w:rsid w:val="00B72785"/>
    <w:rsid w:val="00B72C02"/>
    <w:rsid w:val="00B73521"/>
    <w:rsid w:val="00B8256F"/>
    <w:rsid w:val="00B850EB"/>
    <w:rsid w:val="00B86446"/>
    <w:rsid w:val="00B86D33"/>
    <w:rsid w:val="00B87124"/>
    <w:rsid w:val="00B91D7F"/>
    <w:rsid w:val="00B95BD4"/>
    <w:rsid w:val="00B97E7E"/>
    <w:rsid w:val="00BB0A85"/>
    <w:rsid w:val="00BB415D"/>
    <w:rsid w:val="00BC6E56"/>
    <w:rsid w:val="00BD2F9B"/>
    <w:rsid w:val="00BD4468"/>
    <w:rsid w:val="00BD6485"/>
    <w:rsid w:val="00BE00BD"/>
    <w:rsid w:val="00BE054A"/>
    <w:rsid w:val="00BE0C20"/>
    <w:rsid w:val="00BE0DA5"/>
    <w:rsid w:val="00BE2951"/>
    <w:rsid w:val="00BE3B8C"/>
    <w:rsid w:val="00BE4049"/>
    <w:rsid w:val="00BE4EC4"/>
    <w:rsid w:val="00BE4FDB"/>
    <w:rsid w:val="00BE5D76"/>
    <w:rsid w:val="00BF21E0"/>
    <w:rsid w:val="00BF22B7"/>
    <w:rsid w:val="00BF2B1E"/>
    <w:rsid w:val="00BF5F01"/>
    <w:rsid w:val="00C02E9B"/>
    <w:rsid w:val="00C0478D"/>
    <w:rsid w:val="00C11A01"/>
    <w:rsid w:val="00C12C5F"/>
    <w:rsid w:val="00C130F1"/>
    <w:rsid w:val="00C15F8D"/>
    <w:rsid w:val="00C21573"/>
    <w:rsid w:val="00C223A1"/>
    <w:rsid w:val="00C26853"/>
    <w:rsid w:val="00C26AD2"/>
    <w:rsid w:val="00C2743F"/>
    <w:rsid w:val="00C30E22"/>
    <w:rsid w:val="00C34B5A"/>
    <w:rsid w:val="00C359AB"/>
    <w:rsid w:val="00C4646C"/>
    <w:rsid w:val="00C5582B"/>
    <w:rsid w:val="00C56D07"/>
    <w:rsid w:val="00C60289"/>
    <w:rsid w:val="00C62B1A"/>
    <w:rsid w:val="00C63B78"/>
    <w:rsid w:val="00C65233"/>
    <w:rsid w:val="00C67286"/>
    <w:rsid w:val="00C714AA"/>
    <w:rsid w:val="00C7179A"/>
    <w:rsid w:val="00C7497F"/>
    <w:rsid w:val="00C74C77"/>
    <w:rsid w:val="00C7698D"/>
    <w:rsid w:val="00C77D46"/>
    <w:rsid w:val="00C815A5"/>
    <w:rsid w:val="00C81D22"/>
    <w:rsid w:val="00C8362A"/>
    <w:rsid w:val="00C85015"/>
    <w:rsid w:val="00C91DDE"/>
    <w:rsid w:val="00C92F3B"/>
    <w:rsid w:val="00C9322B"/>
    <w:rsid w:val="00C96461"/>
    <w:rsid w:val="00CA14F3"/>
    <w:rsid w:val="00CA1F77"/>
    <w:rsid w:val="00CA5A89"/>
    <w:rsid w:val="00CA6930"/>
    <w:rsid w:val="00CB17F9"/>
    <w:rsid w:val="00CB4297"/>
    <w:rsid w:val="00CB4480"/>
    <w:rsid w:val="00CB4F9D"/>
    <w:rsid w:val="00CB5BAA"/>
    <w:rsid w:val="00CB62E8"/>
    <w:rsid w:val="00CC2220"/>
    <w:rsid w:val="00CC2EB4"/>
    <w:rsid w:val="00CC7114"/>
    <w:rsid w:val="00CC72B6"/>
    <w:rsid w:val="00CD0BFF"/>
    <w:rsid w:val="00CD2F79"/>
    <w:rsid w:val="00CD3E0C"/>
    <w:rsid w:val="00CD5BF7"/>
    <w:rsid w:val="00CD7850"/>
    <w:rsid w:val="00CE07C6"/>
    <w:rsid w:val="00CF105C"/>
    <w:rsid w:val="00CF1785"/>
    <w:rsid w:val="00CF1890"/>
    <w:rsid w:val="00CF3069"/>
    <w:rsid w:val="00D02AE3"/>
    <w:rsid w:val="00D0300B"/>
    <w:rsid w:val="00D06851"/>
    <w:rsid w:val="00D06B74"/>
    <w:rsid w:val="00D11166"/>
    <w:rsid w:val="00D133D8"/>
    <w:rsid w:val="00D14268"/>
    <w:rsid w:val="00D14A38"/>
    <w:rsid w:val="00D166EB"/>
    <w:rsid w:val="00D230AF"/>
    <w:rsid w:val="00D23CD6"/>
    <w:rsid w:val="00D23DF8"/>
    <w:rsid w:val="00D258AE"/>
    <w:rsid w:val="00D26E74"/>
    <w:rsid w:val="00D30DEC"/>
    <w:rsid w:val="00D32709"/>
    <w:rsid w:val="00D33CBA"/>
    <w:rsid w:val="00D35731"/>
    <w:rsid w:val="00D371D4"/>
    <w:rsid w:val="00D4618F"/>
    <w:rsid w:val="00D501E0"/>
    <w:rsid w:val="00D50C2D"/>
    <w:rsid w:val="00D54313"/>
    <w:rsid w:val="00D54B80"/>
    <w:rsid w:val="00D55E43"/>
    <w:rsid w:val="00D65D0B"/>
    <w:rsid w:val="00D66590"/>
    <w:rsid w:val="00D71C60"/>
    <w:rsid w:val="00D74CAC"/>
    <w:rsid w:val="00D75171"/>
    <w:rsid w:val="00D805EA"/>
    <w:rsid w:val="00D821CA"/>
    <w:rsid w:val="00D84E32"/>
    <w:rsid w:val="00D865BE"/>
    <w:rsid w:val="00D92F5E"/>
    <w:rsid w:val="00D97539"/>
    <w:rsid w:val="00DA0299"/>
    <w:rsid w:val="00DA1EB0"/>
    <w:rsid w:val="00DA2272"/>
    <w:rsid w:val="00DA2BD0"/>
    <w:rsid w:val="00DA2D4A"/>
    <w:rsid w:val="00DA308D"/>
    <w:rsid w:val="00DA3F9B"/>
    <w:rsid w:val="00DA4B73"/>
    <w:rsid w:val="00DA6EC3"/>
    <w:rsid w:val="00DC035F"/>
    <w:rsid w:val="00DC4DDD"/>
    <w:rsid w:val="00DD02F7"/>
    <w:rsid w:val="00DD2F3D"/>
    <w:rsid w:val="00DD3E38"/>
    <w:rsid w:val="00DD66C3"/>
    <w:rsid w:val="00DD78E0"/>
    <w:rsid w:val="00DE0312"/>
    <w:rsid w:val="00DE2A49"/>
    <w:rsid w:val="00DE3D1B"/>
    <w:rsid w:val="00DF0308"/>
    <w:rsid w:val="00DF0688"/>
    <w:rsid w:val="00DF1F22"/>
    <w:rsid w:val="00DF30DD"/>
    <w:rsid w:val="00DF3D2E"/>
    <w:rsid w:val="00DF4CCC"/>
    <w:rsid w:val="00DF4CDE"/>
    <w:rsid w:val="00DF6325"/>
    <w:rsid w:val="00E046B7"/>
    <w:rsid w:val="00E05405"/>
    <w:rsid w:val="00E06457"/>
    <w:rsid w:val="00E068F5"/>
    <w:rsid w:val="00E11AE4"/>
    <w:rsid w:val="00E17B59"/>
    <w:rsid w:val="00E31404"/>
    <w:rsid w:val="00E31C16"/>
    <w:rsid w:val="00E32C60"/>
    <w:rsid w:val="00E330B6"/>
    <w:rsid w:val="00E351E4"/>
    <w:rsid w:val="00E35AF5"/>
    <w:rsid w:val="00E40D8D"/>
    <w:rsid w:val="00E469EC"/>
    <w:rsid w:val="00E4758E"/>
    <w:rsid w:val="00E50A49"/>
    <w:rsid w:val="00E5206A"/>
    <w:rsid w:val="00E5276E"/>
    <w:rsid w:val="00E53C44"/>
    <w:rsid w:val="00E54C35"/>
    <w:rsid w:val="00E56E97"/>
    <w:rsid w:val="00E6182D"/>
    <w:rsid w:val="00E61F71"/>
    <w:rsid w:val="00E623B8"/>
    <w:rsid w:val="00E6260D"/>
    <w:rsid w:val="00E632B8"/>
    <w:rsid w:val="00E63865"/>
    <w:rsid w:val="00E6395F"/>
    <w:rsid w:val="00E668AE"/>
    <w:rsid w:val="00E668EC"/>
    <w:rsid w:val="00E83CA0"/>
    <w:rsid w:val="00E84571"/>
    <w:rsid w:val="00E875B7"/>
    <w:rsid w:val="00E921D7"/>
    <w:rsid w:val="00E96731"/>
    <w:rsid w:val="00E96C5A"/>
    <w:rsid w:val="00EA02DC"/>
    <w:rsid w:val="00EA2D46"/>
    <w:rsid w:val="00EA364E"/>
    <w:rsid w:val="00EB11A2"/>
    <w:rsid w:val="00EB5D95"/>
    <w:rsid w:val="00EB7AD1"/>
    <w:rsid w:val="00EB7E1A"/>
    <w:rsid w:val="00EC03E1"/>
    <w:rsid w:val="00EC2E5B"/>
    <w:rsid w:val="00EC4523"/>
    <w:rsid w:val="00EC59C0"/>
    <w:rsid w:val="00ED03F3"/>
    <w:rsid w:val="00ED5D63"/>
    <w:rsid w:val="00ED752B"/>
    <w:rsid w:val="00EE1F28"/>
    <w:rsid w:val="00EE23CA"/>
    <w:rsid w:val="00EE2960"/>
    <w:rsid w:val="00EE550B"/>
    <w:rsid w:val="00EF0DCE"/>
    <w:rsid w:val="00EF4EA3"/>
    <w:rsid w:val="00EF507F"/>
    <w:rsid w:val="00EF7C1C"/>
    <w:rsid w:val="00F02520"/>
    <w:rsid w:val="00F047E5"/>
    <w:rsid w:val="00F057DD"/>
    <w:rsid w:val="00F062B9"/>
    <w:rsid w:val="00F11D7F"/>
    <w:rsid w:val="00F16443"/>
    <w:rsid w:val="00F21126"/>
    <w:rsid w:val="00F23F5A"/>
    <w:rsid w:val="00F24511"/>
    <w:rsid w:val="00F24B34"/>
    <w:rsid w:val="00F300C1"/>
    <w:rsid w:val="00F31ACB"/>
    <w:rsid w:val="00F36169"/>
    <w:rsid w:val="00F36BC7"/>
    <w:rsid w:val="00F425FB"/>
    <w:rsid w:val="00F44754"/>
    <w:rsid w:val="00F45C23"/>
    <w:rsid w:val="00F46B4F"/>
    <w:rsid w:val="00F54D68"/>
    <w:rsid w:val="00F5673A"/>
    <w:rsid w:val="00F56F1C"/>
    <w:rsid w:val="00F6091A"/>
    <w:rsid w:val="00F60CE4"/>
    <w:rsid w:val="00F627D8"/>
    <w:rsid w:val="00F81A41"/>
    <w:rsid w:val="00F85CE0"/>
    <w:rsid w:val="00F85EF8"/>
    <w:rsid w:val="00F87F2D"/>
    <w:rsid w:val="00F9039D"/>
    <w:rsid w:val="00F92008"/>
    <w:rsid w:val="00F92A50"/>
    <w:rsid w:val="00F92DBA"/>
    <w:rsid w:val="00F92E80"/>
    <w:rsid w:val="00F93F98"/>
    <w:rsid w:val="00F97B82"/>
    <w:rsid w:val="00FA216E"/>
    <w:rsid w:val="00FA34F3"/>
    <w:rsid w:val="00FA4BE9"/>
    <w:rsid w:val="00FA5BE2"/>
    <w:rsid w:val="00FA6690"/>
    <w:rsid w:val="00FB0876"/>
    <w:rsid w:val="00FB0FBA"/>
    <w:rsid w:val="00FB67BF"/>
    <w:rsid w:val="00FC0486"/>
    <w:rsid w:val="00FC228B"/>
    <w:rsid w:val="00FC2B96"/>
    <w:rsid w:val="00FC2EC9"/>
    <w:rsid w:val="00FC2F2C"/>
    <w:rsid w:val="00FC44DF"/>
    <w:rsid w:val="00FC6FEB"/>
    <w:rsid w:val="00FE3229"/>
    <w:rsid w:val="00FE389B"/>
    <w:rsid w:val="00FE7F66"/>
    <w:rsid w:val="00FF01AA"/>
    <w:rsid w:val="00FF0AFD"/>
    <w:rsid w:val="00FF144B"/>
    <w:rsid w:val="00FF2678"/>
    <w:rsid w:val="00FF26BC"/>
    <w:rsid w:val="00FF349A"/>
    <w:rsid w:val="00FF6670"/>
    <w:rsid w:val="00FF7A27"/>
    <w:rsid w:val="12496CBA"/>
    <w:rsid w:val="1DD83972"/>
    <w:rsid w:val="2C50A37B"/>
    <w:rsid w:val="31CBF217"/>
    <w:rsid w:val="331743AC"/>
    <w:rsid w:val="346B2C29"/>
    <w:rsid w:val="37CD68E1"/>
    <w:rsid w:val="3B8BC1A6"/>
    <w:rsid w:val="427B7929"/>
    <w:rsid w:val="44B8D544"/>
    <w:rsid w:val="46AD9A79"/>
    <w:rsid w:val="52C26E58"/>
    <w:rsid w:val="611967C4"/>
    <w:rsid w:val="623C3B84"/>
    <w:rsid w:val="6519ED05"/>
    <w:rsid w:val="6BF02851"/>
    <w:rsid w:val="6E3D0516"/>
    <w:rsid w:val="6F369DC4"/>
    <w:rsid w:val="75009366"/>
    <w:rsid w:val="7614D020"/>
    <w:rsid w:val="76994BAA"/>
    <w:rsid w:val="773A9BB2"/>
    <w:rsid w:val="7AC1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CE13"/>
  <w15:chartTrackingRefBased/>
  <w15:docId w15:val="{7991E902-C317-416E-975B-F2E7D7E3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4E"/>
    <w:rPr>
      <w:rFonts w:ascii="Times New Roman" w:eastAsia="PMingLiU" w:hAnsi="Times New Roman"/>
      <w:sz w:val="24"/>
      <w:szCs w:val="24"/>
      <w:lang w:eastAsia="en-US"/>
    </w:rPr>
  </w:style>
  <w:style w:type="paragraph" w:styleId="Heading2">
    <w:name w:val="heading 2"/>
    <w:basedOn w:val="Normal"/>
    <w:next w:val="Normal"/>
    <w:link w:val="Heading2Char"/>
    <w:qFormat/>
    <w:rsid w:val="00FA4BE9"/>
    <w:pPr>
      <w:keepNext/>
      <w:spacing w:after="120"/>
      <w:jc w:val="both"/>
      <w:outlineLvl w:val="1"/>
    </w:pPr>
    <w:rPr>
      <w:b/>
      <w:spacing w:val="-6"/>
      <w:kern w:val="2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7E"/>
    <w:pPr>
      <w:tabs>
        <w:tab w:val="center" w:pos="4680"/>
        <w:tab w:val="right" w:pos="9360"/>
      </w:tabs>
    </w:pPr>
  </w:style>
  <w:style w:type="character" w:customStyle="1" w:styleId="HeaderChar">
    <w:name w:val="Header Char"/>
    <w:link w:val="Header"/>
    <w:uiPriority w:val="99"/>
    <w:rsid w:val="007A6F7E"/>
    <w:rPr>
      <w:rFonts w:ascii="Times New Roman" w:eastAsia="PMingLiU" w:hAnsi="Times New Roman" w:cs="Times New Roman"/>
      <w:sz w:val="24"/>
      <w:szCs w:val="24"/>
    </w:rPr>
  </w:style>
  <w:style w:type="paragraph" w:styleId="Footer">
    <w:name w:val="footer"/>
    <w:basedOn w:val="Normal"/>
    <w:link w:val="FooterChar"/>
    <w:uiPriority w:val="99"/>
    <w:unhideWhenUsed/>
    <w:rsid w:val="007A6F7E"/>
    <w:pPr>
      <w:tabs>
        <w:tab w:val="center" w:pos="4680"/>
        <w:tab w:val="right" w:pos="9360"/>
      </w:tabs>
    </w:pPr>
  </w:style>
  <w:style w:type="character" w:customStyle="1" w:styleId="FooterChar">
    <w:name w:val="Footer Char"/>
    <w:link w:val="Footer"/>
    <w:uiPriority w:val="99"/>
    <w:rsid w:val="007A6F7E"/>
    <w:rPr>
      <w:rFonts w:ascii="Times New Roman" w:eastAsia="PMingLiU" w:hAnsi="Times New Roman" w:cs="Times New Roman"/>
      <w:sz w:val="24"/>
      <w:szCs w:val="24"/>
    </w:rPr>
  </w:style>
  <w:style w:type="paragraph" w:styleId="BalloonText">
    <w:name w:val="Balloon Text"/>
    <w:basedOn w:val="Normal"/>
    <w:link w:val="BalloonTextChar"/>
    <w:uiPriority w:val="99"/>
    <w:semiHidden/>
    <w:unhideWhenUsed/>
    <w:rsid w:val="00FA4BE9"/>
    <w:rPr>
      <w:rFonts w:ascii="Tahoma" w:hAnsi="Tahoma" w:cs="Tahoma"/>
      <w:sz w:val="16"/>
      <w:szCs w:val="16"/>
    </w:rPr>
  </w:style>
  <w:style w:type="character" w:customStyle="1" w:styleId="BalloonTextChar">
    <w:name w:val="Balloon Text Char"/>
    <w:link w:val="BalloonText"/>
    <w:uiPriority w:val="99"/>
    <w:semiHidden/>
    <w:rsid w:val="00FA4BE9"/>
    <w:rPr>
      <w:rFonts w:ascii="Tahoma" w:eastAsia="PMingLiU" w:hAnsi="Tahoma" w:cs="Tahoma"/>
      <w:sz w:val="16"/>
      <w:szCs w:val="16"/>
    </w:rPr>
  </w:style>
  <w:style w:type="character" w:customStyle="1" w:styleId="Heading2Char">
    <w:name w:val="Heading 2 Char"/>
    <w:link w:val="Heading2"/>
    <w:rsid w:val="00FA4BE9"/>
    <w:rPr>
      <w:rFonts w:ascii="Times New Roman" w:eastAsia="PMingLiU" w:hAnsi="Times New Roman" w:cs="Times New Roman"/>
      <w:b/>
      <w:spacing w:val="-6"/>
      <w:kern w:val="20"/>
      <w:sz w:val="32"/>
      <w:szCs w:val="20"/>
    </w:rPr>
  </w:style>
  <w:style w:type="paragraph" w:styleId="NoSpacing">
    <w:name w:val="No Spacing"/>
    <w:link w:val="NoSpacingChar"/>
    <w:uiPriority w:val="1"/>
    <w:qFormat/>
    <w:rsid w:val="00080804"/>
    <w:rPr>
      <w:rFonts w:eastAsia="Times New Roman"/>
      <w:sz w:val="22"/>
      <w:szCs w:val="22"/>
      <w:lang w:eastAsia="en-US"/>
    </w:rPr>
  </w:style>
  <w:style w:type="character" w:customStyle="1" w:styleId="NoSpacingChar">
    <w:name w:val="No Spacing Char"/>
    <w:link w:val="NoSpacing"/>
    <w:uiPriority w:val="1"/>
    <w:rsid w:val="00080804"/>
    <w:rPr>
      <w:rFonts w:eastAsia="Times New Roman"/>
      <w:sz w:val="22"/>
      <w:szCs w:val="22"/>
      <w:lang w:val="en-US" w:eastAsia="en-US" w:bidi="ar-SA"/>
    </w:rPr>
  </w:style>
  <w:style w:type="paragraph" w:styleId="BodyText2">
    <w:name w:val="Body Text 2"/>
    <w:basedOn w:val="Normal"/>
    <w:link w:val="BodyText2Char"/>
    <w:rsid w:val="00963BE0"/>
    <w:pPr>
      <w:spacing w:after="180"/>
      <w:jc w:val="both"/>
    </w:pPr>
    <w:rPr>
      <w:kern w:val="20"/>
      <w:sz w:val="22"/>
      <w:szCs w:val="20"/>
    </w:rPr>
  </w:style>
  <w:style w:type="character" w:customStyle="1" w:styleId="BodyText2Char">
    <w:name w:val="Body Text 2 Char"/>
    <w:link w:val="BodyText2"/>
    <w:rsid w:val="00963BE0"/>
    <w:rPr>
      <w:rFonts w:ascii="Times New Roman" w:eastAsia="PMingLiU" w:hAnsi="Times New Roman"/>
      <w:kern w:val="20"/>
      <w:sz w:val="22"/>
    </w:rPr>
  </w:style>
  <w:style w:type="character" w:styleId="Hyperlink">
    <w:name w:val="Hyperlink"/>
    <w:rsid w:val="00963BE0"/>
    <w:rPr>
      <w:color w:val="0000FF"/>
      <w:u w:val="single"/>
    </w:rPr>
  </w:style>
  <w:style w:type="character" w:customStyle="1" w:styleId="normaltextrun">
    <w:name w:val="normaltextrun"/>
    <w:basedOn w:val="DefaultParagraphFont"/>
    <w:rsid w:val="00FC228B"/>
  </w:style>
  <w:style w:type="character" w:customStyle="1" w:styleId="eop">
    <w:name w:val="eop"/>
    <w:basedOn w:val="DefaultParagraphFont"/>
    <w:rsid w:val="00FC228B"/>
  </w:style>
  <w:style w:type="character" w:styleId="UnresolvedMention">
    <w:name w:val="Unresolved Mention"/>
    <w:basedOn w:val="DefaultParagraphFont"/>
    <w:uiPriority w:val="99"/>
    <w:semiHidden/>
    <w:unhideWhenUsed/>
    <w:rsid w:val="006F5CBF"/>
    <w:rPr>
      <w:color w:val="605E5C"/>
      <w:shd w:val="clear" w:color="auto" w:fill="E1DFDD"/>
    </w:rPr>
  </w:style>
  <w:style w:type="character" w:styleId="FollowedHyperlink">
    <w:name w:val="FollowedHyperlink"/>
    <w:basedOn w:val="DefaultParagraphFont"/>
    <w:uiPriority w:val="99"/>
    <w:semiHidden/>
    <w:unhideWhenUsed/>
    <w:rsid w:val="006F5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13572">
      <w:bodyDiv w:val="1"/>
      <w:marLeft w:val="0"/>
      <w:marRight w:val="0"/>
      <w:marTop w:val="0"/>
      <w:marBottom w:val="0"/>
      <w:divBdr>
        <w:top w:val="none" w:sz="0" w:space="0" w:color="auto"/>
        <w:left w:val="none" w:sz="0" w:space="0" w:color="auto"/>
        <w:bottom w:val="none" w:sz="0" w:space="0" w:color="auto"/>
        <w:right w:val="none" w:sz="0" w:space="0" w:color="auto"/>
      </w:divBdr>
    </w:div>
    <w:div w:id="291597082">
      <w:bodyDiv w:val="1"/>
      <w:marLeft w:val="0"/>
      <w:marRight w:val="0"/>
      <w:marTop w:val="0"/>
      <w:marBottom w:val="0"/>
      <w:divBdr>
        <w:top w:val="none" w:sz="0" w:space="0" w:color="auto"/>
        <w:left w:val="none" w:sz="0" w:space="0" w:color="auto"/>
        <w:bottom w:val="none" w:sz="0" w:space="0" w:color="auto"/>
        <w:right w:val="none" w:sz="0" w:space="0" w:color="auto"/>
      </w:divBdr>
    </w:div>
    <w:div w:id="373894590">
      <w:bodyDiv w:val="1"/>
      <w:marLeft w:val="0"/>
      <w:marRight w:val="0"/>
      <w:marTop w:val="0"/>
      <w:marBottom w:val="0"/>
      <w:divBdr>
        <w:top w:val="none" w:sz="0" w:space="0" w:color="auto"/>
        <w:left w:val="none" w:sz="0" w:space="0" w:color="auto"/>
        <w:bottom w:val="none" w:sz="0" w:space="0" w:color="auto"/>
        <w:right w:val="none" w:sz="0" w:space="0" w:color="auto"/>
      </w:divBdr>
    </w:div>
    <w:div w:id="393045499">
      <w:bodyDiv w:val="1"/>
      <w:marLeft w:val="0"/>
      <w:marRight w:val="0"/>
      <w:marTop w:val="0"/>
      <w:marBottom w:val="0"/>
      <w:divBdr>
        <w:top w:val="none" w:sz="0" w:space="0" w:color="auto"/>
        <w:left w:val="none" w:sz="0" w:space="0" w:color="auto"/>
        <w:bottom w:val="none" w:sz="0" w:space="0" w:color="auto"/>
        <w:right w:val="none" w:sz="0" w:space="0" w:color="auto"/>
      </w:divBdr>
    </w:div>
    <w:div w:id="599221638">
      <w:bodyDiv w:val="1"/>
      <w:marLeft w:val="0"/>
      <w:marRight w:val="0"/>
      <w:marTop w:val="0"/>
      <w:marBottom w:val="0"/>
      <w:divBdr>
        <w:top w:val="none" w:sz="0" w:space="0" w:color="auto"/>
        <w:left w:val="none" w:sz="0" w:space="0" w:color="auto"/>
        <w:bottom w:val="none" w:sz="0" w:space="0" w:color="auto"/>
        <w:right w:val="none" w:sz="0" w:space="0" w:color="auto"/>
      </w:divBdr>
    </w:div>
    <w:div w:id="742265096">
      <w:bodyDiv w:val="1"/>
      <w:marLeft w:val="0"/>
      <w:marRight w:val="0"/>
      <w:marTop w:val="0"/>
      <w:marBottom w:val="0"/>
      <w:divBdr>
        <w:top w:val="none" w:sz="0" w:space="0" w:color="auto"/>
        <w:left w:val="none" w:sz="0" w:space="0" w:color="auto"/>
        <w:bottom w:val="none" w:sz="0" w:space="0" w:color="auto"/>
        <w:right w:val="none" w:sz="0" w:space="0" w:color="auto"/>
      </w:divBdr>
    </w:div>
    <w:div w:id="895898619">
      <w:bodyDiv w:val="1"/>
      <w:marLeft w:val="0"/>
      <w:marRight w:val="0"/>
      <w:marTop w:val="0"/>
      <w:marBottom w:val="0"/>
      <w:divBdr>
        <w:top w:val="none" w:sz="0" w:space="0" w:color="auto"/>
        <w:left w:val="none" w:sz="0" w:space="0" w:color="auto"/>
        <w:bottom w:val="none" w:sz="0" w:space="0" w:color="auto"/>
        <w:right w:val="none" w:sz="0" w:space="0" w:color="auto"/>
      </w:divBdr>
    </w:div>
    <w:div w:id="1082947123">
      <w:bodyDiv w:val="1"/>
      <w:marLeft w:val="0"/>
      <w:marRight w:val="0"/>
      <w:marTop w:val="0"/>
      <w:marBottom w:val="0"/>
      <w:divBdr>
        <w:top w:val="none" w:sz="0" w:space="0" w:color="auto"/>
        <w:left w:val="none" w:sz="0" w:space="0" w:color="auto"/>
        <w:bottom w:val="none" w:sz="0" w:space="0" w:color="auto"/>
        <w:right w:val="none" w:sz="0" w:space="0" w:color="auto"/>
      </w:divBdr>
    </w:div>
    <w:div w:id="1159155344">
      <w:bodyDiv w:val="1"/>
      <w:marLeft w:val="0"/>
      <w:marRight w:val="0"/>
      <w:marTop w:val="0"/>
      <w:marBottom w:val="0"/>
      <w:divBdr>
        <w:top w:val="none" w:sz="0" w:space="0" w:color="auto"/>
        <w:left w:val="none" w:sz="0" w:space="0" w:color="auto"/>
        <w:bottom w:val="none" w:sz="0" w:space="0" w:color="auto"/>
        <w:right w:val="none" w:sz="0" w:space="0" w:color="auto"/>
      </w:divBdr>
    </w:div>
    <w:div w:id="1217161021">
      <w:bodyDiv w:val="1"/>
      <w:marLeft w:val="0"/>
      <w:marRight w:val="0"/>
      <w:marTop w:val="0"/>
      <w:marBottom w:val="0"/>
      <w:divBdr>
        <w:top w:val="none" w:sz="0" w:space="0" w:color="auto"/>
        <w:left w:val="none" w:sz="0" w:space="0" w:color="auto"/>
        <w:bottom w:val="none" w:sz="0" w:space="0" w:color="auto"/>
        <w:right w:val="none" w:sz="0" w:space="0" w:color="auto"/>
      </w:divBdr>
    </w:div>
    <w:div w:id="1219778013">
      <w:bodyDiv w:val="1"/>
      <w:marLeft w:val="0"/>
      <w:marRight w:val="0"/>
      <w:marTop w:val="0"/>
      <w:marBottom w:val="0"/>
      <w:divBdr>
        <w:top w:val="none" w:sz="0" w:space="0" w:color="auto"/>
        <w:left w:val="none" w:sz="0" w:space="0" w:color="auto"/>
        <w:bottom w:val="none" w:sz="0" w:space="0" w:color="auto"/>
        <w:right w:val="none" w:sz="0" w:space="0" w:color="auto"/>
      </w:divBdr>
    </w:div>
    <w:div w:id="1225675528">
      <w:bodyDiv w:val="1"/>
      <w:marLeft w:val="0"/>
      <w:marRight w:val="0"/>
      <w:marTop w:val="0"/>
      <w:marBottom w:val="0"/>
      <w:divBdr>
        <w:top w:val="none" w:sz="0" w:space="0" w:color="auto"/>
        <w:left w:val="none" w:sz="0" w:space="0" w:color="auto"/>
        <w:bottom w:val="none" w:sz="0" w:space="0" w:color="auto"/>
        <w:right w:val="none" w:sz="0" w:space="0" w:color="auto"/>
      </w:divBdr>
    </w:div>
    <w:div w:id="1228997953">
      <w:bodyDiv w:val="1"/>
      <w:marLeft w:val="0"/>
      <w:marRight w:val="0"/>
      <w:marTop w:val="0"/>
      <w:marBottom w:val="0"/>
      <w:divBdr>
        <w:top w:val="none" w:sz="0" w:space="0" w:color="auto"/>
        <w:left w:val="none" w:sz="0" w:space="0" w:color="auto"/>
        <w:bottom w:val="none" w:sz="0" w:space="0" w:color="auto"/>
        <w:right w:val="none" w:sz="0" w:space="0" w:color="auto"/>
      </w:divBdr>
    </w:div>
    <w:div w:id="1340934476">
      <w:bodyDiv w:val="1"/>
      <w:marLeft w:val="0"/>
      <w:marRight w:val="0"/>
      <w:marTop w:val="0"/>
      <w:marBottom w:val="0"/>
      <w:divBdr>
        <w:top w:val="none" w:sz="0" w:space="0" w:color="auto"/>
        <w:left w:val="none" w:sz="0" w:space="0" w:color="auto"/>
        <w:bottom w:val="none" w:sz="0" w:space="0" w:color="auto"/>
        <w:right w:val="none" w:sz="0" w:space="0" w:color="auto"/>
      </w:divBdr>
    </w:div>
    <w:div w:id="1382904721">
      <w:bodyDiv w:val="1"/>
      <w:marLeft w:val="0"/>
      <w:marRight w:val="0"/>
      <w:marTop w:val="0"/>
      <w:marBottom w:val="0"/>
      <w:divBdr>
        <w:top w:val="none" w:sz="0" w:space="0" w:color="auto"/>
        <w:left w:val="none" w:sz="0" w:space="0" w:color="auto"/>
        <w:bottom w:val="none" w:sz="0" w:space="0" w:color="auto"/>
        <w:right w:val="none" w:sz="0" w:space="0" w:color="auto"/>
      </w:divBdr>
    </w:div>
    <w:div w:id="1469200027">
      <w:bodyDiv w:val="1"/>
      <w:marLeft w:val="0"/>
      <w:marRight w:val="0"/>
      <w:marTop w:val="0"/>
      <w:marBottom w:val="0"/>
      <w:divBdr>
        <w:top w:val="none" w:sz="0" w:space="0" w:color="auto"/>
        <w:left w:val="none" w:sz="0" w:space="0" w:color="auto"/>
        <w:bottom w:val="none" w:sz="0" w:space="0" w:color="auto"/>
        <w:right w:val="none" w:sz="0" w:space="0" w:color="auto"/>
      </w:divBdr>
    </w:div>
    <w:div w:id="1593929849">
      <w:bodyDiv w:val="1"/>
      <w:marLeft w:val="0"/>
      <w:marRight w:val="0"/>
      <w:marTop w:val="0"/>
      <w:marBottom w:val="0"/>
      <w:divBdr>
        <w:top w:val="none" w:sz="0" w:space="0" w:color="auto"/>
        <w:left w:val="none" w:sz="0" w:space="0" w:color="auto"/>
        <w:bottom w:val="none" w:sz="0" w:space="0" w:color="auto"/>
        <w:right w:val="none" w:sz="0" w:space="0" w:color="auto"/>
      </w:divBdr>
    </w:div>
    <w:div w:id="1619752833">
      <w:bodyDiv w:val="1"/>
      <w:marLeft w:val="0"/>
      <w:marRight w:val="0"/>
      <w:marTop w:val="0"/>
      <w:marBottom w:val="0"/>
      <w:divBdr>
        <w:top w:val="none" w:sz="0" w:space="0" w:color="auto"/>
        <w:left w:val="none" w:sz="0" w:space="0" w:color="auto"/>
        <w:bottom w:val="none" w:sz="0" w:space="0" w:color="auto"/>
        <w:right w:val="none" w:sz="0" w:space="0" w:color="auto"/>
      </w:divBdr>
    </w:div>
    <w:div w:id="1625427324">
      <w:bodyDiv w:val="1"/>
      <w:marLeft w:val="0"/>
      <w:marRight w:val="0"/>
      <w:marTop w:val="0"/>
      <w:marBottom w:val="0"/>
      <w:divBdr>
        <w:top w:val="none" w:sz="0" w:space="0" w:color="auto"/>
        <w:left w:val="none" w:sz="0" w:space="0" w:color="auto"/>
        <w:bottom w:val="none" w:sz="0" w:space="0" w:color="auto"/>
        <w:right w:val="none" w:sz="0" w:space="0" w:color="auto"/>
      </w:divBdr>
    </w:div>
    <w:div w:id="1642079687">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26192778">
      <w:bodyDiv w:val="1"/>
      <w:marLeft w:val="0"/>
      <w:marRight w:val="0"/>
      <w:marTop w:val="0"/>
      <w:marBottom w:val="0"/>
      <w:divBdr>
        <w:top w:val="none" w:sz="0" w:space="0" w:color="auto"/>
        <w:left w:val="none" w:sz="0" w:space="0" w:color="auto"/>
        <w:bottom w:val="none" w:sz="0" w:space="0" w:color="auto"/>
        <w:right w:val="none" w:sz="0" w:space="0" w:color="auto"/>
      </w:divBdr>
    </w:div>
    <w:div w:id="1835144280">
      <w:bodyDiv w:val="1"/>
      <w:marLeft w:val="0"/>
      <w:marRight w:val="0"/>
      <w:marTop w:val="0"/>
      <w:marBottom w:val="0"/>
      <w:divBdr>
        <w:top w:val="none" w:sz="0" w:space="0" w:color="auto"/>
        <w:left w:val="none" w:sz="0" w:space="0" w:color="auto"/>
        <w:bottom w:val="none" w:sz="0" w:space="0" w:color="auto"/>
        <w:right w:val="none" w:sz="0" w:space="0" w:color="auto"/>
      </w:divBdr>
    </w:div>
    <w:div w:id="1876114040">
      <w:bodyDiv w:val="1"/>
      <w:marLeft w:val="0"/>
      <w:marRight w:val="0"/>
      <w:marTop w:val="0"/>
      <w:marBottom w:val="0"/>
      <w:divBdr>
        <w:top w:val="none" w:sz="0" w:space="0" w:color="auto"/>
        <w:left w:val="none" w:sz="0" w:space="0" w:color="auto"/>
        <w:bottom w:val="none" w:sz="0" w:space="0" w:color="auto"/>
        <w:right w:val="none" w:sz="0" w:space="0" w:color="auto"/>
      </w:divBdr>
    </w:div>
    <w:div w:id="1896815285">
      <w:bodyDiv w:val="1"/>
      <w:marLeft w:val="0"/>
      <w:marRight w:val="0"/>
      <w:marTop w:val="0"/>
      <w:marBottom w:val="0"/>
      <w:divBdr>
        <w:top w:val="none" w:sz="0" w:space="0" w:color="auto"/>
        <w:left w:val="none" w:sz="0" w:space="0" w:color="auto"/>
        <w:bottom w:val="none" w:sz="0" w:space="0" w:color="auto"/>
        <w:right w:val="none" w:sz="0" w:space="0" w:color="auto"/>
      </w:divBdr>
    </w:div>
    <w:div w:id="2069647421">
      <w:bodyDiv w:val="1"/>
      <w:marLeft w:val="0"/>
      <w:marRight w:val="0"/>
      <w:marTop w:val="0"/>
      <w:marBottom w:val="0"/>
      <w:divBdr>
        <w:top w:val="none" w:sz="0" w:space="0" w:color="auto"/>
        <w:left w:val="none" w:sz="0" w:space="0" w:color="auto"/>
        <w:bottom w:val="none" w:sz="0" w:space="0" w:color="auto"/>
        <w:right w:val="none" w:sz="0" w:space="0" w:color="auto"/>
      </w:divBdr>
    </w:div>
    <w:div w:id="2069765726">
      <w:bodyDiv w:val="1"/>
      <w:marLeft w:val="0"/>
      <w:marRight w:val="0"/>
      <w:marTop w:val="0"/>
      <w:marBottom w:val="0"/>
      <w:divBdr>
        <w:top w:val="none" w:sz="0" w:space="0" w:color="auto"/>
        <w:left w:val="none" w:sz="0" w:space="0" w:color="auto"/>
        <w:bottom w:val="none" w:sz="0" w:space="0" w:color="auto"/>
        <w:right w:val="none" w:sz="0" w:space="0" w:color="auto"/>
      </w:divBdr>
    </w:div>
    <w:div w:id="2074159310">
      <w:bodyDiv w:val="1"/>
      <w:marLeft w:val="0"/>
      <w:marRight w:val="0"/>
      <w:marTop w:val="0"/>
      <w:marBottom w:val="0"/>
      <w:divBdr>
        <w:top w:val="none" w:sz="0" w:space="0" w:color="auto"/>
        <w:left w:val="none" w:sz="0" w:space="0" w:color="auto"/>
        <w:bottom w:val="none" w:sz="0" w:space="0" w:color="auto"/>
        <w:right w:val="none" w:sz="0" w:space="0" w:color="auto"/>
      </w:divBdr>
    </w:div>
    <w:div w:id="2095928384">
      <w:bodyDiv w:val="1"/>
      <w:marLeft w:val="0"/>
      <w:marRight w:val="0"/>
      <w:marTop w:val="0"/>
      <w:marBottom w:val="0"/>
      <w:divBdr>
        <w:top w:val="none" w:sz="0" w:space="0" w:color="auto"/>
        <w:left w:val="none" w:sz="0" w:space="0" w:color="auto"/>
        <w:bottom w:val="none" w:sz="0" w:space="0" w:color="auto"/>
        <w:right w:val="none" w:sz="0" w:space="0" w:color="auto"/>
      </w:divBdr>
    </w:div>
    <w:div w:id="2110150683">
      <w:bodyDiv w:val="1"/>
      <w:marLeft w:val="0"/>
      <w:marRight w:val="0"/>
      <w:marTop w:val="0"/>
      <w:marBottom w:val="0"/>
      <w:divBdr>
        <w:top w:val="none" w:sz="0" w:space="0" w:color="auto"/>
        <w:left w:val="none" w:sz="0" w:space="0" w:color="auto"/>
        <w:bottom w:val="none" w:sz="0" w:space="0" w:color="auto"/>
        <w:right w:val="none" w:sz="0" w:space="0" w:color="auto"/>
      </w:divBdr>
    </w:div>
    <w:div w:id="21443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l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lcf76f155ced4ddcb4097134ff3c332f xmlns="03dfb928-5554-4a87-8e9a-edea6c8e310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8" ma:contentTypeDescription="Create a new document." ma:contentTypeScope="" ma:versionID="8281f36ee854139684ef7ac401f60fa2">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69cb908e2068c32f52eb2f7b203cc8b6"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ad3bd6-ea6a-409c-b72a-f45566beb83b}"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FB31A-7011-4925-A9D6-1C06E99BCE35}">
  <ds:schemaRefs>
    <ds:schemaRef ds:uri="http://schemas.microsoft.com/sharepoint/v3/contenttype/forms"/>
  </ds:schemaRefs>
</ds:datastoreItem>
</file>

<file path=customXml/itemProps2.xml><?xml version="1.0" encoding="utf-8"?>
<ds:datastoreItem xmlns:ds="http://schemas.openxmlformats.org/officeDocument/2006/customXml" ds:itemID="{CAECC540-B4B8-4CFB-80C4-0EE7E30E0D5B}">
  <ds:schemaRefs>
    <ds:schemaRef ds:uri="http://schemas.microsoft.com/office/2006/metadata/properties"/>
    <ds:schemaRef ds:uri="http://schemas.microsoft.com/office/infopath/2007/PartnerControls"/>
    <ds:schemaRef ds:uri="d876ab5d-c363-4cb9-b177-8b68990486e8"/>
    <ds:schemaRef ds:uri="03dfb928-5554-4a87-8e9a-edea6c8e3105"/>
  </ds:schemaRefs>
</ds:datastoreItem>
</file>

<file path=customXml/itemProps3.xml><?xml version="1.0" encoding="utf-8"?>
<ds:datastoreItem xmlns:ds="http://schemas.openxmlformats.org/officeDocument/2006/customXml" ds:itemID="{C0A46265-78B0-4B3F-B7D5-AEECD4566C64}">
  <ds:schemaRefs>
    <ds:schemaRef ds:uri="http://schemas.openxmlformats.org/officeDocument/2006/bibliography"/>
  </ds:schemaRefs>
</ds:datastoreItem>
</file>

<file path=customXml/itemProps4.xml><?xml version="1.0" encoding="utf-8"?>
<ds:datastoreItem xmlns:ds="http://schemas.openxmlformats.org/officeDocument/2006/customXml" ds:itemID="{6395D9EA-896E-455E-8629-CA8932DDE885}">
  <ds:schemaRefs>
    <ds:schemaRef ds:uri="http://schemas.microsoft.com/office/2006/metadata/longProperties"/>
  </ds:schemaRefs>
</ds:datastoreItem>
</file>

<file path=customXml/itemProps5.xml><?xml version="1.0" encoding="utf-8"?>
<ds:datastoreItem xmlns:ds="http://schemas.openxmlformats.org/officeDocument/2006/customXml" ds:itemID="{A6BFD2FC-454B-42C0-BB84-0D8E3D65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928-5554-4a87-8e9a-edea6c8e3105"/>
    <ds:schemaRef ds:uri="d876ab5d-c363-4cb9-b177-8b68990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6424</TotalTime>
  <Pages>1</Pages>
  <Words>848</Words>
  <Characters>4838</Characters>
  <Application>Microsoft Office Word</Application>
  <DocSecurity>4</DocSecurity>
  <Lines>40</Lines>
  <Paragraphs>11</Paragraphs>
  <ScaleCrop>false</ScaleCrop>
  <Company>Accra</Company>
  <LinksUpToDate>false</LinksUpToDate>
  <CharactersWithSpaces>5675</CharactersWithSpaces>
  <SharedDoc>false</SharedDoc>
  <HLinks>
    <vt:vector size="6" baseType="variant">
      <vt:variant>
        <vt:i4>5701726</vt:i4>
      </vt:variant>
      <vt:variant>
        <vt:i4>0</vt:i4>
      </vt:variant>
      <vt:variant>
        <vt:i4>0</vt:i4>
      </vt:variant>
      <vt:variant>
        <vt:i4>5</vt:i4>
      </vt:variant>
      <vt:variant>
        <vt:lpwstr>http://www.coli.org/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Sun</dc:creator>
  <cp:keywords/>
  <cp:lastModifiedBy>Alec Romero</cp:lastModifiedBy>
  <cp:revision>531</cp:revision>
  <cp:lastPrinted>2021-11-01T11:48:00Z</cp:lastPrinted>
  <dcterms:created xsi:type="dcterms:W3CDTF">2021-01-13T07:48:00Z</dcterms:created>
  <dcterms:modified xsi:type="dcterms:W3CDTF">2024-01-30T22:02:00Z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dropbox5@c2er.org</vt:lpwstr>
  </property>
  <property fmtid="{D5CDD505-2E9C-101B-9397-08002B2CF9AE}" pid="3" name="Order">
    <vt:lpwstr>6200.00000000000</vt:lpwstr>
  </property>
  <property fmtid="{D5CDD505-2E9C-101B-9397-08002B2CF9AE}" pid="4" name="display_urn:schemas-microsoft-com:office:office#Author">
    <vt:lpwstr>dropbox5@c2er.org</vt:lpwstr>
  </property>
  <property fmtid="{D5CDD505-2E9C-101B-9397-08002B2CF9AE}" pid="5" name="ContentTypeId">
    <vt:lpwstr>0x010100BFFFC962BD627F4EA76B28DDC6E46AD9</vt:lpwstr>
  </property>
  <property fmtid="{D5CDD505-2E9C-101B-9397-08002B2CF9AE}" pid="6" name="xd_Signature">
    <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MediaServiceImageTags">
    <vt:lpwstr/>
  </property>
</Properties>
</file>